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2963" w14:textId="61560C8F" w:rsidR="009E7EF6" w:rsidRPr="00D51090" w:rsidRDefault="009E7EF6" w:rsidP="000E06E1">
      <w:pPr>
        <w:pStyle w:val="Heading1"/>
        <w:spacing w:before="0" w:after="0"/>
        <w:ind w:right="1985"/>
        <w:contextualSpacing w:val="0"/>
        <w:rPr>
          <w:rFonts w:asciiTheme="minorHAnsi" w:eastAsiaTheme="minorEastAsia" w:hAnsiTheme="minorHAnsi" w:cstheme="minorBidi"/>
          <w:iCs w:val="0"/>
          <w:caps w:val="0"/>
          <w:color w:val="414042" w:themeColor="text1"/>
          <w:sz w:val="32"/>
          <w:szCs w:val="32"/>
          <w:lang w:val="en-AU" w:bidi="ar-SA"/>
        </w:rPr>
      </w:pPr>
      <w:bookmarkStart w:id="0" w:name="InvestmentsCurrentMarketView"/>
      <w:r w:rsidRPr="00D51090">
        <w:rPr>
          <w:rFonts w:asciiTheme="minorHAnsi" w:eastAsiaTheme="minorEastAsia" w:hAnsiTheme="minorHAnsi" w:cstheme="minorBidi"/>
          <w:iCs w:val="0"/>
          <w:caps w:val="0"/>
          <w:color w:val="414042" w:themeColor="text1"/>
          <w:sz w:val="32"/>
          <w:szCs w:val="32"/>
          <w:lang w:val="en-AU" w:bidi="ar-SA"/>
        </w:rPr>
        <w:t>Current Market View</w:t>
      </w:r>
      <w:r w:rsidR="00670764" w:rsidRPr="00D51090">
        <w:rPr>
          <w:rFonts w:asciiTheme="minorHAnsi" w:eastAsiaTheme="minorEastAsia" w:hAnsiTheme="minorHAnsi" w:cstheme="minorBidi"/>
          <w:iCs w:val="0"/>
          <w:caps w:val="0"/>
          <w:color w:val="414042" w:themeColor="text1"/>
          <w:sz w:val="32"/>
          <w:szCs w:val="32"/>
          <w:lang w:val="en-AU" w:bidi="ar-SA"/>
        </w:rPr>
        <w:t xml:space="preserve"> – </w:t>
      </w:r>
      <w:r w:rsidR="00F622E8">
        <w:rPr>
          <w:rFonts w:asciiTheme="minorHAnsi" w:eastAsiaTheme="minorEastAsia" w:hAnsiTheme="minorHAnsi" w:cstheme="minorBidi"/>
          <w:iCs w:val="0"/>
          <w:caps w:val="0"/>
          <w:color w:val="414042" w:themeColor="text1"/>
          <w:sz w:val="32"/>
          <w:szCs w:val="32"/>
          <w:lang w:val="en-AU" w:bidi="ar-SA"/>
        </w:rPr>
        <w:t>September</w:t>
      </w:r>
      <w:r w:rsidR="00670764" w:rsidRPr="00D51090">
        <w:rPr>
          <w:rFonts w:asciiTheme="minorHAnsi" w:eastAsiaTheme="minorEastAsia" w:hAnsiTheme="minorHAnsi" w:cstheme="minorBidi"/>
          <w:iCs w:val="0"/>
          <w:caps w:val="0"/>
          <w:color w:val="414042" w:themeColor="text1"/>
          <w:sz w:val="32"/>
          <w:szCs w:val="32"/>
          <w:lang w:val="en-AU" w:bidi="ar-SA"/>
        </w:rPr>
        <w:t xml:space="preserve"> 202</w:t>
      </w:r>
      <w:r w:rsidR="008129CC">
        <w:rPr>
          <w:rFonts w:asciiTheme="minorHAnsi" w:eastAsiaTheme="minorEastAsia" w:hAnsiTheme="minorHAnsi" w:cstheme="minorBidi"/>
          <w:iCs w:val="0"/>
          <w:caps w:val="0"/>
          <w:color w:val="414042" w:themeColor="text1"/>
          <w:sz w:val="32"/>
          <w:szCs w:val="32"/>
          <w:lang w:val="en-AU" w:bidi="ar-SA"/>
        </w:rPr>
        <w:t>6</w:t>
      </w:r>
    </w:p>
    <w:p w14:paraId="69DA8B77" w14:textId="72194298" w:rsidR="001C4983" w:rsidRPr="00C9457D" w:rsidRDefault="001C4983" w:rsidP="00912096">
      <w:pPr>
        <w:rPr>
          <w:rFonts w:asciiTheme="majorHAnsi" w:hAnsiTheme="majorHAnsi" w:cstheme="majorHAnsi"/>
          <w:b/>
          <w:bCs/>
          <w:sz w:val="24"/>
          <w:szCs w:val="24"/>
        </w:rPr>
      </w:pPr>
      <w:r w:rsidRPr="00C9457D">
        <w:rPr>
          <w:rFonts w:asciiTheme="majorHAnsi" w:hAnsiTheme="majorHAnsi" w:cstheme="majorHAnsi"/>
          <w:b/>
          <w:bCs/>
          <w:sz w:val="24"/>
          <w:szCs w:val="24"/>
        </w:rPr>
        <w:t>Investment Markets</w:t>
      </w:r>
    </w:p>
    <w:p w14:paraId="2B5D34C2" w14:textId="12EA1B96" w:rsidR="00502D7A" w:rsidRPr="00BB004B" w:rsidRDefault="00502D7A" w:rsidP="00F40119">
      <w:pPr>
        <w:rPr>
          <w:rFonts w:asciiTheme="majorHAnsi" w:hAnsiTheme="majorHAnsi" w:cstheme="majorHAnsi"/>
          <w:b/>
          <w:bCs/>
        </w:rPr>
      </w:pPr>
      <w:r w:rsidRPr="00BB004B">
        <w:rPr>
          <w:rFonts w:asciiTheme="majorHAnsi" w:hAnsiTheme="majorHAnsi" w:cstheme="majorHAnsi"/>
          <w:b/>
          <w:bCs/>
        </w:rPr>
        <w:t>Global Markets</w:t>
      </w:r>
    </w:p>
    <w:p w14:paraId="35FBFA07" w14:textId="7E94F4B1" w:rsidR="00B513B0" w:rsidRPr="00BB004B" w:rsidRDefault="00B513B0" w:rsidP="007152C2">
      <w:pPr>
        <w:jc w:val="both"/>
        <w:rPr>
          <w:rFonts w:ascii="Calibri" w:hAnsi="Calibri" w:cs="Calibri"/>
          <w:color w:val="222222"/>
          <w:shd w:val="clear" w:color="auto" w:fill="FFFFFF"/>
        </w:rPr>
      </w:pPr>
      <w:r w:rsidRPr="00BB004B">
        <w:rPr>
          <w:rFonts w:ascii="Calibri" w:hAnsi="Calibri" w:cs="Calibri"/>
          <w:color w:val="222222"/>
          <w:shd w:val="clear" w:color="auto" w:fill="FFFFFF"/>
        </w:rPr>
        <w:t xml:space="preserve">Global equities were modestly weaker in September 2026 as rising bond yields, higher oil prices, and tighter monetary policy offset continued enthusiasm for artificial intelligence-related companies. The </w:t>
      </w:r>
      <w:r w:rsidR="00265003" w:rsidRPr="00BB004B">
        <w:rPr>
          <w:rFonts w:ascii="Calibri" w:hAnsi="Calibri" w:cs="Calibri"/>
          <w:color w:val="222222"/>
          <w:shd w:val="clear" w:color="auto" w:fill="FFFFFF"/>
        </w:rPr>
        <w:t>Global</w:t>
      </w:r>
      <w:r w:rsidRPr="00BB004B">
        <w:rPr>
          <w:rFonts w:ascii="Calibri" w:hAnsi="Calibri" w:cs="Calibri"/>
          <w:color w:val="222222"/>
          <w:shd w:val="clear" w:color="auto" w:fill="FFFFFF"/>
        </w:rPr>
        <w:t xml:space="preserve"> Index </w:t>
      </w:r>
      <w:r w:rsidR="00265003" w:rsidRPr="00BB004B">
        <w:rPr>
          <w:rFonts w:ascii="Calibri" w:hAnsi="Calibri" w:cs="Calibri"/>
          <w:color w:val="222222"/>
          <w:shd w:val="clear" w:color="auto" w:fill="FFFFFF"/>
        </w:rPr>
        <w:t>gained 1.7%</w:t>
      </w:r>
      <w:r w:rsidRPr="00BB004B">
        <w:rPr>
          <w:rFonts w:ascii="Calibri" w:hAnsi="Calibri" w:cs="Calibri"/>
          <w:color w:val="222222"/>
          <w:shd w:val="clear" w:color="auto" w:fill="FFFFFF"/>
        </w:rPr>
        <w:t xml:space="preserve"> during the month, </w:t>
      </w:r>
      <w:r w:rsidR="005729F5" w:rsidRPr="00BB004B">
        <w:rPr>
          <w:rFonts w:ascii="Calibri" w:hAnsi="Calibri" w:cs="Calibri"/>
          <w:color w:val="222222"/>
          <w:shd w:val="clear" w:color="auto" w:fill="FFFFFF"/>
        </w:rPr>
        <w:t>with p</w:t>
      </w:r>
      <w:r w:rsidRPr="00BB004B">
        <w:rPr>
          <w:rFonts w:ascii="Calibri" w:hAnsi="Calibri" w:cs="Calibri"/>
          <w:color w:val="222222"/>
          <w:shd w:val="clear" w:color="auto" w:fill="FFFFFF"/>
        </w:rPr>
        <w:t>erformance highly concentrated</w:t>
      </w:r>
      <w:r w:rsidR="005729F5" w:rsidRPr="00BB004B">
        <w:rPr>
          <w:rFonts w:ascii="Calibri" w:hAnsi="Calibri" w:cs="Calibri"/>
          <w:color w:val="222222"/>
          <w:shd w:val="clear" w:color="auto" w:fill="FFFFFF"/>
        </w:rPr>
        <w:t xml:space="preserve"> in US large-cap technology and AI-linked stocks, while</w:t>
      </w:r>
      <w:r w:rsidRPr="00BB004B">
        <w:rPr>
          <w:rFonts w:ascii="Calibri" w:hAnsi="Calibri" w:cs="Calibri"/>
          <w:color w:val="222222"/>
          <w:shd w:val="clear" w:color="auto" w:fill="FFFFFF"/>
        </w:rPr>
        <w:t xml:space="preserve"> European, Chinese, and Australian equities lagged. Investors grappled with renewed inflation concerns, higher energy prices following Middle East tensions, and interest rate increases from several major central banks, all of which weighed on broader market sentiment despite resilience in a handful of technology leaders. </w:t>
      </w:r>
    </w:p>
    <w:p w14:paraId="5E01C949" w14:textId="5CD1EE24" w:rsidR="000724C9" w:rsidRPr="00BB004B" w:rsidRDefault="00F952F8" w:rsidP="007152C2">
      <w:pPr>
        <w:jc w:val="both"/>
        <w:rPr>
          <w:rFonts w:ascii="Calibri" w:hAnsi="Calibri" w:cs="Calibri"/>
          <w:color w:val="222222"/>
          <w:shd w:val="clear" w:color="auto" w:fill="FFFFFF"/>
        </w:rPr>
      </w:pPr>
      <w:r w:rsidRPr="00BB004B">
        <w:rPr>
          <w:rFonts w:ascii="Calibri" w:hAnsi="Calibri" w:cs="Calibri"/>
          <w:color w:val="222222"/>
          <w:shd w:val="clear" w:color="auto" w:fill="FFFFFF"/>
        </w:rPr>
        <w:t xml:space="preserve">Global bond markets </w:t>
      </w:r>
      <w:r w:rsidR="00355076">
        <w:rPr>
          <w:rFonts w:ascii="Calibri" w:hAnsi="Calibri" w:cs="Calibri"/>
          <w:color w:val="222222"/>
          <w:shd w:val="clear" w:color="auto" w:fill="FFFFFF"/>
        </w:rPr>
        <w:t>had a tougher</w:t>
      </w:r>
      <w:r w:rsidRPr="00BB004B">
        <w:rPr>
          <w:rFonts w:ascii="Calibri" w:hAnsi="Calibri" w:cs="Calibri"/>
          <w:color w:val="222222"/>
          <w:shd w:val="clear" w:color="auto" w:fill="FFFFFF"/>
        </w:rPr>
        <w:t xml:space="preserve"> month than equities. Government bond yields rose sharply across major developed markets, driving negative returns for both sovereign and corporate fixed income. Long-dated government bond yields reached multi-decade highs in several regions, with the US 10-year Treasury yield moving above 5% for the first time since before the global financial crisis. Higher oil prices, persistent inflation pressures, increased government borrowing requirements, and central bank rate hikes all contributed to the sell-off. Global corporate bonds also declined as wider credit spreads compounded the impact of rising underlying yields, resulting in broad weakness across global fixed income markets during September. </w:t>
      </w:r>
    </w:p>
    <w:p w14:paraId="374F6898" w14:textId="322F9FBC" w:rsidR="00670AB6" w:rsidRPr="00BB004B" w:rsidRDefault="00E00477" w:rsidP="007152C2">
      <w:pPr>
        <w:jc w:val="both"/>
        <w:rPr>
          <w:rFonts w:asciiTheme="majorHAnsi" w:hAnsiTheme="majorHAnsi" w:cstheme="majorHAnsi"/>
          <w:b/>
          <w:bCs/>
          <w:color w:val="222222"/>
          <w:shd w:val="clear" w:color="auto" w:fill="FFFFFF"/>
        </w:rPr>
      </w:pPr>
      <w:r w:rsidRPr="00BB004B">
        <w:rPr>
          <w:rFonts w:asciiTheme="majorHAnsi" w:hAnsiTheme="majorHAnsi" w:cstheme="majorHAnsi"/>
          <w:b/>
          <w:bCs/>
          <w:noProof/>
          <w:color w:val="222222"/>
          <w:shd w:val="clear" w:color="auto" w:fill="FFFFFF"/>
        </w:rPr>
        <w:drawing>
          <wp:inline distT="0" distB="0" distL="0" distR="0" wp14:anchorId="680FC35D" wp14:editId="03B2567C">
            <wp:extent cx="5726124" cy="1104900"/>
            <wp:effectExtent l="0" t="0" r="8255" b="0"/>
            <wp:docPr id="1098190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90048" name=""/>
                    <pic:cNvPicPr/>
                  </pic:nvPicPr>
                  <pic:blipFill>
                    <a:blip r:embed="rId11"/>
                    <a:stretch>
                      <a:fillRect/>
                    </a:stretch>
                  </pic:blipFill>
                  <pic:spPr>
                    <a:xfrm>
                      <a:off x="0" y="0"/>
                      <a:ext cx="5731640" cy="1105964"/>
                    </a:xfrm>
                    <a:prstGeom prst="rect">
                      <a:avLst/>
                    </a:prstGeom>
                  </pic:spPr>
                </pic:pic>
              </a:graphicData>
            </a:graphic>
          </wp:inline>
        </w:drawing>
      </w:r>
    </w:p>
    <w:p w14:paraId="246B1CF6" w14:textId="0D6B8A08" w:rsidR="00001072" w:rsidRPr="00BB004B" w:rsidRDefault="00B76A9F" w:rsidP="007152C2">
      <w:pPr>
        <w:jc w:val="both"/>
        <w:rPr>
          <w:rFonts w:cstheme="minorHAnsi"/>
          <w:b/>
          <w:bCs/>
          <w:color w:val="222222"/>
          <w:shd w:val="clear" w:color="auto" w:fill="FFFFFF"/>
        </w:rPr>
      </w:pPr>
      <w:r w:rsidRPr="00BB004B">
        <w:rPr>
          <w:rFonts w:cstheme="minorHAnsi"/>
          <w:b/>
          <w:bCs/>
          <w:color w:val="222222"/>
          <w:shd w:val="clear" w:color="auto" w:fill="FFFFFF"/>
        </w:rPr>
        <w:t xml:space="preserve">Global </w:t>
      </w:r>
      <w:r w:rsidR="00001072" w:rsidRPr="00BB004B">
        <w:rPr>
          <w:rFonts w:cstheme="minorHAnsi"/>
          <w:b/>
          <w:bCs/>
          <w:color w:val="222222"/>
          <w:shd w:val="clear" w:color="auto" w:fill="FFFFFF"/>
        </w:rPr>
        <w:t>Share Markets</w:t>
      </w:r>
    </w:p>
    <w:p w14:paraId="22F2C045" w14:textId="31E60579" w:rsidR="00ED3C13" w:rsidRPr="00BB004B" w:rsidRDefault="0066466B" w:rsidP="006D38FA">
      <w:pPr>
        <w:jc w:val="both"/>
        <w:rPr>
          <w:rFonts w:ascii="Calibri" w:hAnsi="Calibri" w:cs="Calibri"/>
          <w:color w:val="222222"/>
          <w:shd w:val="clear" w:color="auto" w:fill="FFFFFF"/>
        </w:rPr>
      </w:pPr>
      <w:r w:rsidRPr="00BB004B">
        <w:rPr>
          <w:rFonts w:ascii="Calibri" w:hAnsi="Calibri" w:cs="Calibri"/>
          <w:color w:val="222222"/>
          <w:shd w:val="clear" w:color="auto" w:fill="FFFFFF"/>
        </w:rPr>
        <w:t xml:space="preserve">Global share markets </w:t>
      </w:r>
      <w:r w:rsidR="00355076">
        <w:rPr>
          <w:rFonts w:ascii="Calibri" w:hAnsi="Calibri" w:cs="Calibri"/>
          <w:color w:val="222222"/>
          <w:shd w:val="clear" w:color="auto" w:fill="FFFFFF"/>
        </w:rPr>
        <w:t>rose in September, driven mainly</w:t>
      </w:r>
      <w:r w:rsidR="005628E4" w:rsidRPr="00BB004B">
        <w:rPr>
          <w:rFonts w:ascii="Calibri" w:hAnsi="Calibri" w:cs="Calibri"/>
          <w:color w:val="222222"/>
          <w:shd w:val="clear" w:color="auto" w:fill="FFFFFF"/>
        </w:rPr>
        <w:t xml:space="preserve"> by </w:t>
      </w:r>
      <w:r w:rsidR="00D90BCA" w:rsidRPr="00BB004B">
        <w:rPr>
          <w:rFonts w:ascii="Calibri" w:hAnsi="Calibri" w:cs="Calibri"/>
          <w:color w:val="222222"/>
          <w:shd w:val="clear" w:color="auto" w:fill="FFFFFF"/>
        </w:rPr>
        <w:t>the technology-heavy United States and Japan.</w:t>
      </w:r>
      <w:r w:rsidR="001A326D" w:rsidRPr="00BB004B">
        <w:rPr>
          <w:rFonts w:ascii="Calibri" w:hAnsi="Calibri" w:cs="Calibri"/>
          <w:color w:val="222222"/>
          <w:shd w:val="clear" w:color="auto" w:fill="FFFFFF"/>
        </w:rPr>
        <w:t xml:space="preserve"> </w:t>
      </w:r>
      <w:r w:rsidR="00355076">
        <w:rPr>
          <w:rFonts w:ascii="Calibri" w:hAnsi="Calibri" w:cs="Calibri"/>
          <w:color w:val="222222"/>
          <w:shd w:val="clear" w:color="auto" w:fill="FFFFFF"/>
        </w:rPr>
        <w:t>Narrow AI-related stock returns drove the rally, with the semiconductor index up 5% over the month, while higher oil and energy prices and rising bond yields pressured many non-technology sectors</w:t>
      </w:r>
      <w:r w:rsidR="00475C20" w:rsidRPr="00BB004B">
        <w:rPr>
          <w:rFonts w:ascii="Calibri" w:hAnsi="Calibri" w:cs="Calibri"/>
          <w:color w:val="222222"/>
          <w:shd w:val="clear" w:color="auto" w:fill="FFFFFF"/>
        </w:rPr>
        <w:t>.</w:t>
      </w:r>
    </w:p>
    <w:p w14:paraId="20ABA9E7" w14:textId="456316D8" w:rsidR="00EF1564" w:rsidRPr="00BB004B" w:rsidRDefault="00EF1564" w:rsidP="0020568E">
      <w:pPr>
        <w:jc w:val="both"/>
        <w:rPr>
          <w:rFonts w:ascii="Calibri" w:hAnsi="Calibri" w:cs="Calibri"/>
          <w:color w:val="222222"/>
          <w:shd w:val="clear" w:color="auto" w:fill="FFFFFF"/>
        </w:rPr>
      </w:pPr>
      <w:r w:rsidRPr="00BB004B">
        <w:rPr>
          <w:rFonts w:ascii="Calibri" w:hAnsi="Calibri" w:cs="Calibri"/>
          <w:color w:val="222222"/>
          <w:shd w:val="clear" w:color="auto" w:fill="FFFFFF"/>
        </w:rPr>
        <w:t>The U.S.-Iran conflict remained unresolved, with the seven-month war oscillating between military flare-ups and diplomatic efforts that yielded little tangible progress. Brent crude jumped more than 10% on the month and briefly rose above $100 per barrel. Elevated energy prices, particularly diesel and other fuels, reinforced inflation concerns, contributed to rising global bond yields, and posed an additional challenge for energy-importing economies.</w:t>
      </w:r>
    </w:p>
    <w:p w14:paraId="6B3F7E5C" w14:textId="77777777" w:rsidR="00A262CD" w:rsidRPr="00BB004B" w:rsidRDefault="00A262CD" w:rsidP="0020568E">
      <w:pPr>
        <w:jc w:val="both"/>
        <w:rPr>
          <w:rFonts w:ascii="Calibri" w:hAnsi="Calibri" w:cs="Calibri"/>
          <w:color w:val="222222"/>
          <w:shd w:val="clear" w:color="auto" w:fill="FFFFFF"/>
        </w:rPr>
      </w:pPr>
    </w:p>
    <w:p w14:paraId="0450C1FB" w14:textId="2A65FE96" w:rsidR="00A262CD" w:rsidRPr="00BB004B" w:rsidRDefault="00424054" w:rsidP="0020568E">
      <w:pPr>
        <w:jc w:val="both"/>
        <w:rPr>
          <w:rFonts w:ascii="Calibri" w:hAnsi="Calibri" w:cs="Calibri"/>
          <w:color w:val="222222"/>
          <w:shd w:val="clear" w:color="auto" w:fill="FFFFFF"/>
        </w:rPr>
      </w:pPr>
      <w:r w:rsidRPr="00BB004B">
        <w:rPr>
          <w:rFonts w:ascii="Calibri" w:hAnsi="Calibri" w:cs="Calibri"/>
          <w:color w:val="222222"/>
          <w:shd w:val="clear" w:color="auto" w:fill="FFFFFF"/>
        </w:rPr>
        <w:lastRenderedPageBreak/>
        <w:t xml:space="preserve">Europe and the United Kingdom were weaker over the last month </w:t>
      </w:r>
      <w:r w:rsidR="00355076">
        <w:rPr>
          <w:rFonts w:ascii="Calibri" w:hAnsi="Calibri" w:cs="Calibri"/>
          <w:color w:val="222222"/>
          <w:shd w:val="clear" w:color="auto" w:fill="FFFFFF"/>
        </w:rPr>
        <w:t>because they have lower weightings in</w:t>
      </w:r>
      <w:r w:rsidRPr="00BB004B">
        <w:rPr>
          <w:rFonts w:ascii="Calibri" w:hAnsi="Calibri" w:cs="Calibri"/>
          <w:color w:val="222222"/>
          <w:shd w:val="clear" w:color="auto" w:fill="FFFFFF"/>
        </w:rPr>
        <w:t xml:space="preserve"> AI-related stocks</w:t>
      </w:r>
      <w:r w:rsidR="00E14332" w:rsidRPr="00BB004B">
        <w:rPr>
          <w:rFonts w:ascii="Calibri" w:hAnsi="Calibri" w:cs="Calibri"/>
          <w:color w:val="222222"/>
          <w:shd w:val="clear" w:color="auto" w:fill="FFFFFF"/>
        </w:rPr>
        <w:t xml:space="preserve">. </w:t>
      </w:r>
      <w:r w:rsidR="000B009E" w:rsidRPr="00BB004B">
        <w:rPr>
          <w:rFonts w:ascii="Calibri" w:hAnsi="Calibri" w:cs="Calibri"/>
          <w:color w:val="222222"/>
          <w:shd w:val="clear" w:color="auto" w:fill="FFFFFF"/>
        </w:rPr>
        <w:t>France led the wider Euro</w:t>
      </w:r>
      <w:r w:rsidR="002E272E" w:rsidRPr="00BB004B">
        <w:rPr>
          <w:rFonts w:ascii="Calibri" w:hAnsi="Calibri" w:cs="Calibri"/>
          <w:color w:val="222222"/>
          <w:shd w:val="clear" w:color="auto" w:fill="FFFFFF"/>
        </w:rPr>
        <w:t xml:space="preserve">zone </w:t>
      </w:r>
      <w:r w:rsidR="00355076">
        <w:rPr>
          <w:rFonts w:ascii="Calibri" w:hAnsi="Calibri" w:cs="Calibri"/>
          <w:color w:val="222222"/>
          <w:shd w:val="clear" w:color="auto" w:fill="FFFFFF"/>
        </w:rPr>
        <w:t xml:space="preserve">lower due to continued resident </w:t>
      </w:r>
      <w:proofErr w:type="spellStart"/>
      <w:r w:rsidR="00355076">
        <w:rPr>
          <w:rFonts w:ascii="Calibri" w:hAnsi="Calibri" w:cs="Calibri"/>
          <w:color w:val="222222"/>
          <w:shd w:val="clear" w:color="auto" w:fill="FFFFFF"/>
        </w:rPr>
        <w:t>rerest</w:t>
      </w:r>
      <w:proofErr w:type="spellEnd"/>
      <w:r w:rsidR="00355076">
        <w:rPr>
          <w:rFonts w:ascii="Calibri" w:hAnsi="Calibri" w:cs="Calibri"/>
          <w:color w:val="222222"/>
          <w:shd w:val="clear" w:color="auto" w:fill="FFFFFF"/>
        </w:rPr>
        <w:t xml:space="preserve"> and higher government spending keeping inflation high, which pushed bond yields up</w:t>
      </w:r>
      <w:r w:rsidR="000131F9" w:rsidRPr="00BB004B">
        <w:rPr>
          <w:rFonts w:ascii="Calibri" w:hAnsi="Calibri" w:cs="Calibri"/>
          <w:color w:val="222222"/>
          <w:shd w:val="clear" w:color="auto" w:fill="FFFFFF"/>
        </w:rPr>
        <w:t xml:space="preserve"> from 4.2% to </w:t>
      </w:r>
      <w:r w:rsidR="00182362" w:rsidRPr="00BB004B">
        <w:rPr>
          <w:rFonts w:ascii="Calibri" w:hAnsi="Calibri" w:cs="Calibri"/>
          <w:color w:val="222222"/>
          <w:shd w:val="clear" w:color="auto" w:fill="FFFFFF"/>
        </w:rPr>
        <w:t>4.9%</w:t>
      </w:r>
      <w:r w:rsidR="009A7298" w:rsidRPr="00BB004B">
        <w:rPr>
          <w:rFonts w:ascii="Calibri" w:hAnsi="Calibri" w:cs="Calibri"/>
          <w:color w:val="222222"/>
          <w:shd w:val="clear" w:color="auto" w:fill="FFFFFF"/>
        </w:rPr>
        <w:t xml:space="preserve"> over the month.</w:t>
      </w:r>
    </w:p>
    <w:p w14:paraId="77AEE519" w14:textId="06D82319" w:rsidR="00E9028A" w:rsidRPr="00BB004B" w:rsidRDefault="00E9028A" w:rsidP="0020568E">
      <w:pPr>
        <w:jc w:val="both"/>
        <w:rPr>
          <w:rFonts w:ascii="Calibri" w:hAnsi="Calibri" w:cs="Calibri"/>
          <w:color w:val="222222"/>
          <w:shd w:val="clear" w:color="auto" w:fill="FFFFFF"/>
        </w:rPr>
      </w:pPr>
      <w:r w:rsidRPr="00BB004B">
        <w:rPr>
          <w:rFonts w:ascii="Calibri" w:hAnsi="Calibri" w:cs="Calibri"/>
          <w:color w:val="222222"/>
          <w:shd w:val="clear" w:color="auto" w:fill="FFFFFF"/>
        </w:rPr>
        <w:t>Australia was also a laggard throughout the month</w:t>
      </w:r>
      <w:r w:rsidR="0067568B" w:rsidRPr="00BB004B">
        <w:rPr>
          <w:rFonts w:ascii="Calibri" w:hAnsi="Calibri" w:cs="Calibri"/>
          <w:color w:val="222222"/>
          <w:shd w:val="clear" w:color="auto" w:fill="FFFFFF"/>
        </w:rPr>
        <w:t>, driven by iron ore finishing below US$95/t, copper falling 4%, and gold falling on higher bond yields, with the wider materials sector down 6% for the month.</w:t>
      </w:r>
      <w:r w:rsidR="00566261" w:rsidRPr="00BB004B">
        <w:rPr>
          <w:rFonts w:ascii="Calibri" w:hAnsi="Calibri" w:cs="Calibri"/>
          <w:color w:val="222222"/>
          <w:shd w:val="clear" w:color="auto" w:fill="FFFFFF"/>
        </w:rPr>
        <w:t xml:space="preserve"> </w:t>
      </w:r>
      <w:r w:rsidR="002605A4">
        <w:rPr>
          <w:rFonts w:ascii="Calibri" w:hAnsi="Calibri" w:cs="Calibri"/>
          <w:color w:val="222222"/>
          <w:shd w:val="clear" w:color="auto" w:fill="FFFFFF"/>
        </w:rPr>
        <w:t>The fourth interest rate hike this year also weighed on Australian equities</w:t>
      </w:r>
      <w:r w:rsidR="005A1E22" w:rsidRPr="00BB004B">
        <w:rPr>
          <w:rFonts w:ascii="Calibri" w:hAnsi="Calibri" w:cs="Calibri"/>
          <w:color w:val="222222"/>
          <w:shd w:val="clear" w:color="auto" w:fill="FFFFFF"/>
        </w:rPr>
        <w:t>, with expectations of another raise later this year.</w:t>
      </w:r>
    </w:p>
    <w:p w14:paraId="528FD475" w14:textId="11DDAFB1" w:rsidR="005E7D1C" w:rsidRPr="00BB004B" w:rsidRDefault="00170018" w:rsidP="00827803">
      <w:pPr>
        <w:spacing w:before="0" w:after="0"/>
        <w:jc w:val="center"/>
        <w:rPr>
          <w:rFonts w:asciiTheme="majorHAnsi" w:hAnsiTheme="majorHAnsi" w:cstheme="majorHAnsi"/>
          <w:color w:val="222222"/>
          <w:shd w:val="clear" w:color="auto" w:fill="FFFFFF"/>
        </w:rPr>
      </w:pPr>
      <w:r w:rsidRPr="00BB004B">
        <w:rPr>
          <w:rFonts w:asciiTheme="majorHAnsi" w:hAnsiTheme="majorHAnsi" w:cstheme="majorHAnsi"/>
          <w:noProof/>
          <w:color w:val="222222"/>
          <w:shd w:val="clear" w:color="auto" w:fill="FFFFFF"/>
        </w:rPr>
        <w:drawing>
          <wp:inline distT="0" distB="0" distL="0" distR="0" wp14:anchorId="00A9D8C5" wp14:editId="0F523169">
            <wp:extent cx="6303455" cy="1905000"/>
            <wp:effectExtent l="0" t="0" r="2540" b="0"/>
            <wp:docPr id="638244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44496" name=""/>
                    <pic:cNvPicPr/>
                  </pic:nvPicPr>
                  <pic:blipFill>
                    <a:blip r:embed="rId12"/>
                    <a:stretch>
                      <a:fillRect/>
                    </a:stretch>
                  </pic:blipFill>
                  <pic:spPr>
                    <a:xfrm>
                      <a:off x="0" y="0"/>
                      <a:ext cx="6308917" cy="1906651"/>
                    </a:xfrm>
                    <a:prstGeom prst="rect">
                      <a:avLst/>
                    </a:prstGeom>
                  </pic:spPr>
                </pic:pic>
              </a:graphicData>
            </a:graphic>
          </wp:inline>
        </w:drawing>
      </w:r>
    </w:p>
    <w:p w14:paraId="4593F997" w14:textId="5F43F020" w:rsidR="00D53B5B" w:rsidRPr="00BB004B" w:rsidRDefault="00193B6F" w:rsidP="002605A4">
      <w:pPr>
        <w:spacing w:before="0" w:after="0"/>
        <w:rPr>
          <w:rFonts w:asciiTheme="majorHAnsi" w:hAnsiTheme="majorHAnsi" w:cstheme="majorHAnsi"/>
          <w:color w:val="222222"/>
          <w:sz w:val="16"/>
          <w:szCs w:val="16"/>
          <w:shd w:val="clear" w:color="auto" w:fill="FFFFFF"/>
        </w:rPr>
      </w:pPr>
      <w:r w:rsidRPr="00BB004B">
        <w:rPr>
          <w:rFonts w:asciiTheme="majorHAnsi" w:hAnsiTheme="majorHAnsi" w:cstheme="majorHAnsi"/>
          <w:b/>
          <w:bCs/>
          <w:color w:val="222222"/>
          <w:sz w:val="16"/>
          <w:szCs w:val="16"/>
          <w:shd w:val="clear" w:color="auto" w:fill="FFFFFF"/>
        </w:rPr>
        <w:t>Data Source:</w:t>
      </w:r>
      <w:r w:rsidRPr="00BB004B">
        <w:rPr>
          <w:rFonts w:asciiTheme="majorHAnsi" w:hAnsiTheme="majorHAnsi" w:cstheme="majorHAnsi"/>
          <w:color w:val="222222"/>
          <w:sz w:val="16"/>
          <w:szCs w:val="16"/>
          <w:shd w:val="clear" w:color="auto" w:fill="FFFFFF"/>
        </w:rPr>
        <w:t xml:space="preserve"> </w:t>
      </w:r>
      <w:r w:rsidR="004B5E2E" w:rsidRPr="00BB004B">
        <w:rPr>
          <w:rFonts w:asciiTheme="majorHAnsi" w:hAnsiTheme="majorHAnsi" w:cstheme="majorHAnsi"/>
          <w:color w:val="222222"/>
          <w:sz w:val="16"/>
          <w:szCs w:val="16"/>
          <w:shd w:val="clear" w:color="auto" w:fill="FFFFFF"/>
        </w:rPr>
        <w:t>AFM</w:t>
      </w:r>
      <w:r w:rsidRPr="00BB004B">
        <w:rPr>
          <w:rFonts w:asciiTheme="majorHAnsi" w:hAnsiTheme="majorHAnsi" w:cstheme="majorHAnsi"/>
          <w:color w:val="222222"/>
          <w:sz w:val="16"/>
          <w:szCs w:val="16"/>
          <w:shd w:val="clear" w:color="auto" w:fill="FFFFFF"/>
        </w:rPr>
        <w:t xml:space="preserve"> as of </w:t>
      </w:r>
      <w:r w:rsidR="001034CB" w:rsidRPr="00BB004B">
        <w:rPr>
          <w:rFonts w:asciiTheme="majorHAnsi" w:hAnsiTheme="majorHAnsi" w:cstheme="majorHAnsi"/>
          <w:color w:val="222222"/>
          <w:sz w:val="16"/>
          <w:szCs w:val="16"/>
          <w:shd w:val="clear" w:color="auto" w:fill="FFFFFF"/>
        </w:rPr>
        <w:t>September</w:t>
      </w:r>
      <w:r w:rsidR="000E3302" w:rsidRPr="00BB004B">
        <w:rPr>
          <w:rFonts w:asciiTheme="majorHAnsi" w:hAnsiTheme="majorHAnsi" w:cstheme="majorHAnsi"/>
          <w:color w:val="222222"/>
          <w:sz w:val="16"/>
          <w:szCs w:val="16"/>
          <w:shd w:val="clear" w:color="auto" w:fill="FFFFFF"/>
        </w:rPr>
        <w:t xml:space="preserve"> </w:t>
      </w:r>
      <w:r w:rsidR="00374ED0" w:rsidRPr="00BB004B">
        <w:rPr>
          <w:rFonts w:asciiTheme="majorHAnsi" w:hAnsiTheme="majorHAnsi" w:cstheme="majorHAnsi"/>
          <w:color w:val="222222"/>
          <w:sz w:val="16"/>
          <w:szCs w:val="16"/>
          <w:shd w:val="clear" w:color="auto" w:fill="FFFFFF"/>
        </w:rPr>
        <w:t>3</w:t>
      </w:r>
      <w:r w:rsidR="001034CB" w:rsidRPr="00BB004B">
        <w:rPr>
          <w:rFonts w:asciiTheme="majorHAnsi" w:hAnsiTheme="majorHAnsi" w:cstheme="majorHAnsi"/>
          <w:color w:val="222222"/>
          <w:sz w:val="16"/>
          <w:szCs w:val="16"/>
          <w:shd w:val="clear" w:color="auto" w:fill="FFFFFF"/>
        </w:rPr>
        <w:t>0</w:t>
      </w:r>
      <w:r w:rsidR="00374ED0" w:rsidRPr="00BB004B">
        <w:rPr>
          <w:rFonts w:asciiTheme="majorHAnsi" w:hAnsiTheme="majorHAnsi" w:cstheme="majorHAnsi"/>
          <w:color w:val="222222"/>
          <w:sz w:val="16"/>
          <w:szCs w:val="16"/>
          <w:shd w:val="clear" w:color="auto" w:fill="FFFFFF"/>
        </w:rPr>
        <w:t>,</w:t>
      </w:r>
      <w:r w:rsidRPr="00BB004B">
        <w:rPr>
          <w:rFonts w:asciiTheme="majorHAnsi" w:hAnsiTheme="majorHAnsi" w:cstheme="majorHAnsi"/>
          <w:color w:val="222222"/>
          <w:sz w:val="16"/>
          <w:szCs w:val="16"/>
          <w:shd w:val="clear" w:color="auto" w:fill="FFFFFF"/>
        </w:rPr>
        <w:t xml:space="preserve"> 202</w:t>
      </w:r>
      <w:r w:rsidR="00645798" w:rsidRPr="00BB004B">
        <w:rPr>
          <w:rFonts w:asciiTheme="majorHAnsi" w:hAnsiTheme="majorHAnsi" w:cstheme="majorHAnsi"/>
          <w:color w:val="222222"/>
          <w:sz w:val="16"/>
          <w:szCs w:val="16"/>
          <w:shd w:val="clear" w:color="auto" w:fill="FFFFFF"/>
        </w:rPr>
        <w:t>6</w:t>
      </w:r>
      <w:r w:rsidRPr="00BB004B">
        <w:rPr>
          <w:rFonts w:asciiTheme="majorHAnsi" w:hAnsiTheme="majorHAnsi" w:cstheme="majorHAnsi"/>
          <w:color w:val="222222"/>
          <w:sz w:val="16"/>
          <w:szCs w:val="16"/>
          <w:shd w:val="clear" w:color="auto" w:fill="FFFFFF"/>
        </w:rPr>
        <w:t>.</w:t>
      </w:r>
    </w:p>
    <w:p w14:paraId="759975DE" w14:textId="77777777" w:rsidR="00BB1727" w:rsidRPr="00BB004B" w:rsidRDefault="00BB1727" w:rsidP="007152C2">
      <w:pPr>
        <w:jc w:val="both"/>
        <w:rPr>
          <w:rFonts w:asciiTheme="majorHAnsi" w:hAnsiTheme="majorHAnsi" w:cstheme="majorHAnsi"/>
          <w:b/>
          <w:bCs/>
        </w:rPr>
      </w:pPr>
    </w:p>
    <w:p w14:paraId="41DB7890" w14:textId="57626A6B" w:rsidR="006729DD" w:rsidRPr="00BB004B" w:rsidRDefault="003B20F9" w:rsidP="007152C2">
      <w:pPr>
        <w:jc w:val="both"/>
        <w:rPr>
          <w:rFonts w:asciiTheme="majorHAnsi" w:hAnsiTheme="majorHAnsi" w:cstheme="majorHAnsi"/>
          <w:b/>
          <w:bCs/>
        </w:rPr>
      </w:pPr>
      <w:r w:rsidRPr="00BB004B">
        <w:rPr>
          <w:rFonts w:asciiTheme="majorHAnsi" w:hAnsiTheme="majorHAnsi" w:cstheme="majorHAnsi"/>
          <w:b/>
          <w:bCs/>
        </w:rPr>
        <w:t xml:space="preserve">Global </w:t>
      </w:r>
      <w:r w:rsidR="006729DD" w:rsidRPr="00BB004B">
        <w:rPr>
          <w:rFonts w:asciiTheme="majorHAnsi" w:hAnsiTheme="majorHAnsi" w:cstheme="majorHAnsi"/>
          <w:b/>
          <w:bCs/>
        </w:rPr>
        <w:t>Bond Markets</w:t>
      </w:r>
    </w:p>
    <w:p w14:paraId="7C6C3770" w14:textId="20BC8408" w:rsidR="001A7119" w:rsidRPr="00BB004B" w:rsidRDefault="00C44B7E" w:rsidP="00656BEE">
      <w:pPr>
        <w:jc w:val="both"/>
        <w:rPr>
          <w:rFonts w:ascii="Calibri" w:hAnsi="Calibri" w:cs="Calibri"/>
          <w:color w:val="222222"/>
          <w:shd w:val="clear" w:color="auto" w:fill="FFFFFF"/>
        </w:rPr>
      </w:pPr>
      <w:r w:rsidRPr="00BB004B">
        <w:rPr>
          <w:rFonts w:ascii="Calibri" w:hAnsi="Calibri" w:cs="Calibri"/>
          <w:color w:val="222222"/>
          <w:shd w:val="clear" w:color="auto" w:fill="FFFFFF"/>
        </w:rPr>
        <w:t xml:space="preserve">Global bond markets weakened in </w:t>
      </w:r>
      <w:r w:rsidR="00A52FE3" w:rsidRPr="00BB004B">
        <w:rPr>
          <w:rFonts w:ascii="Calibri" w:hAnsi="Calibri" w:cs="Calibri"/>
          <w:color w:val="222222"/>
          <w:shd w:val="clear" w:color="auto" w:fill="FFFFFF"/>
        </w:rPr>
        <w:t>September</w:t>
      </w:r>
      <w:r w:rsidRPr="00BB004B">
        <w:rPr>
          <w:rFonts w:ascii="Calibri" w:hAnsi="Calibri" w:cs="Calibri"/>
          <w:color w:val="222222"/>
          <w:shd w:val="clear" w:color="auto" w:fill="FFFFFF"/>
        </w:rPr>
        <w:t xml:space="preserve"> 2026, delivering a </w:t>
      </w:r>
      <w:r w:rsidR="00A52FE3" w:rsidRPr="00BB004B">
        <w:rPr>
          <w:rFonts w:ascii="Calibri" w:hAnsi="Calibri" w:cs="Calibri"/>
          <w:color w:val="222222"/>
          <w:shd w:val="clear" w:color="auto" w:fill="FFFFFF"/>
        </w:rPr>
        <w:t>third</w:t>
      </w:r>
      <w:r w:rsidRPr="00BB004B">
        <w:rPr>
          <w:rFonts w:ascii="Calibri" w:hAnsi="Calibri" w:cs="Calibri"/>
          <w:color w:val="222222"/>
          <w:shd w:val="clear" w:color="auto" w:fill="FFFFFF"/>
        </w:rPr>
        <w:t xml:space="preserve"> consecutive month of rising yields as investors priced in persistent inflation and a higher</w:t>
      </w:r>
      <w:r w:rsidRPr="00BB004B">
        <w:rPr>
          <w:rFonts w:ascii="Calibri" w:hAnsi="Calibri" w:cs="Calibri"/>
          <w:color w:val="222222"/>
          <w:shd w:val="clear" w:color="auto" w:fill="FFFFFF"/>
        </w:rPr>
        <w:noBreakHyphen/>
        <w:t>for</w:t>
      </w:r>
      <w:r w:rsidRPr="00BB004B">
        <w:rPr>
          <w:rFonts w:ascii="Calibri" w:hAnsi="Calibri" w:cs="Calibri"/>
          <w:color w:val="222222"/>
          <w:shd w:val="clear" w:color="auto" w:fill="FFFFFF"/>
        </w:rPr>
        <w:noBreakHyphen/>
        <w:t xml:space="preserve">longer policy stance from major central banks. Sovereign yields rose across nearly all developed markets, </w:t>
      </w:r>
      <w:r w:rsidR="009E5619" w:rsidRPr="00BB004B">
        <w:rPr>
          <w:rFonts w:ascii="Calibri" w:hAnsi="Calibri" w:cs="Calibri"/>
          <w:color w:val="222222"/>
          <w:shd w:val="clear" w:color="auto" w:fill="FFFFFF"/>
        </w:rPr>
        <w:t xml:space="preserve">with the US, ECB and Japan </w:t>
      </w:r>
      <w:r w:rsidR="002605A4">
        <w:rPr>
          <w:rFonts w:ascii="Calibri" w:hAnsi="Calibri" w:cs="Calibri"/>
          <w:color w:val="222222"/>
          <w:shd w:val="clear" w:color="auto" w:fill="FFFFFF"/>
        </w:rPr>
        <w:t>leading the move, while emerging markets offset</w:t>
      </w:r>
      <w:r w:rsidR="00E47FA8" w:rsidRPr="00BB004B">
        <w:rPr>
          <w:rFonts w:ascii="Calibri" w:hAnsi="Calibri" w:cs="Calibri"/>
          <w:color w:val="222222"/>
          <w:shd w:val="clear" w:color="auto" w:fill="FFFFFF"/>
        </w:rPr>
        <w:t xml:space="preserve"> some of the weakness</w:t>
      </w:r>
      <w:r w:rsidRPr="00BB004B">
        <w:rPr>
          <w:rFonts w:ascii="Calibri" w:hAnsi="Calibri" w:cs="Calibri"/>
          <w:color w:val="222222"/>
          <w:shd w:val="clear" w:color="auto" w:fill="FFFFFF"/>
        </w:rPr>
        <w:t>.</w:t>
      </w:r>
    </w:p>
    <w:p w14:paraId="73A8D33B" w14:textId="59E9753D" w:rsidR="003B20F9" w:rsidRPr="00BB004B" w:rsidRDefault="003B20F9" w:rsidP="007152C2">
      <w:pPr>
        <w:jc w:val="both"/>
        <w:rPr>
          <w:rFonts w:ascii="Calibri" w:hAnsi="Calibri" w:cs="Calibri"/>
          <w:color w:val="222222"/>
          <w:shd w:val="clear" w:color="auto" w:fill="FFFFFF"/>
        </w:rPr>
      </w:pPr>
      <w:r w:rsidRPr="00BB004B">
        <w:rPr>
          <w:rFonts w:ascii="Calibri" w:hAnsi="Calibri" w:cs="Calibri"/>
          <w:color w:val="222222"/>
          <w:shd w:val="clear" w:color="auto" w:fill="FFFFFF"/>
        </w:rPr>
        <w:t xml:space="preserve">Interest </w:t>
      </w:r>
      <w:r w:rsidR="00391DC1" w:rsidRPr="00BB004B">
        <w:rPr>
          <w:rFonts w:ascii="Calibri" w:hAnsi="Calibri" w:cs="Calibri"/>
          <w:color w:val="222222"/>
          <w:shd w:val="clear" w:color="auto" w:fill="FFFFFF"/>
        </w:rPr>
        <w:t xml:space="preserve">rates were </w:t>
      </w:r>
      <w:r w:rsidR="00142DC0" w:rsidRPr="00BB004B">
        <w:rPr>
          <w:rFonts w:ascii="Calibri" w:hAnsi="Calibri" w:cs="Calibri"/>
          <w:color w:val="222222"/>
          <w:shd w:val="clear" w:color="auto" w:fill="FFFFFF"/>
        </w:rPr>
        <w:t xml:space="preserve">slightly </w:t>
      </w:r>
      <w:r w:rsidR="00391DC1" w:rsidRPr="00BB004B">
        <w:rPr>
          <w:rFonts w:ascii="Calibri" w:hAnsi="Calibri" w:cs="Calibri"/>
          <w:color w:val="222222"/>
          <w:shd w:val="clear" w:color="auto" w:fill="FFFFFF"/>
        </w:rPr>
        <w:t xml:space="preserve">higher in </w:t>
      </w:r>
      <w:r w:rsidR="00882263" w:rsidRPr="00BB004B">
        <w:rPr>
          <w:rFonts w:ascii="Calibri" w:hAnsi="Calibri" w:cs="Calibri"/>
          <w:color w:val="222222"/>
          <w:shd w:val="clear" w:color="auto" w:fill="FFFFFF"/>
        </w:rPr>
        <w:t>September</w:t>
      </w:r>
      <w:r w:rsidR="00391DC1" w:rsidRPr="00BB004B">
        <w:rPr>
          <w:rFonts w:ascii="Calibri" w:hAnsi="Calibri" w:cs="Calibri"/>
          <w:color w:val="222222"/>
          <w:shd w:val="clear" w:color="auto" w:fill="FFFFFF"/>
        </w:rPr>
        <w:t xml:space="preserve">, with the US 10-year Government bond rate rising to </w:t>
      </w:r>
      <w:r w:rsidR="00E33DF8" w:rsidRPr="00BB004B">
        <w:rPr>
          <w:rFonts w:ascii="Calibri" w:hAnsi="Calibri" w:cs="Calibri"/>
          <w:color w:val="222222"/>
          <w:shd w:val="clear" w:color="auto" w:fill="FFFFFF"/>
        </w:rPr>
        <w:t>5.22</w:t>
      </w:r>
      <w:r w:rsidR="00391DC1" w:rsidRPr="00BB004B">
        <w:rPr>
          <w:rFonts w:ascii="Calibri" w:hAnsi="Calibri" w:cs="Calibri"/>
          <w:color w:val="222222"/>
          <w:shd w:val="clear" w:color="auto" w:fill="FFFFFF"/>
        </w:rPr>
        <w:t>% and the UK 10-year Gilt rising</w:t>
      </w:r>
      <w:r w:rsidR="0023582D" w:rsidRPr="00BB004B">
        <w:rPr>
          <w:rFonts w:ascii="Calibri" w:hAnsi="Calibri" w:cs="Calibri"/>
          <w:color w:val="222222"/>
          <w:shd w:val="clear" w:color="auto" w:fill="FFFFFF"/>
        </w:rPr>
        <w:t xml:space="preserve"> to</w:t>
      </w:r>
      <w:r w:rsidR="00364EC8" w:rsidRPr="00BB004B">
        <w:rPr>
          <w:rFonts w:ascii="Calibri" w:hAnsi="Calibri" w:cs="Calibri"/>
          <w:color w:val="222222"/>
          <w:shd w:val="clear" w:color="auto" w:fill="FFFFFF"/>
        </w:rPr>
        <w:t xml:space="preserve"> </w:t>
      </w:r>
      <w:r w:rsidR="00C35F9F" w:rsidRPr="00BB004B">
        <w:rPr>
          <w:rFonts w:ascii="Calibri" w:hAnsi="Calibri" w:cs="Calibri"/>
          <w:color w:val="222222"/>
          <w:shd w:val="clear" w:color="auto" w:fill="FFFFFF"/>
        </w:rPr>
        <w:t>5.</w:t>
      </w:r>
      <w:r w:rsidR="00E33DF8" w:rsidRPr="00BB004B">
        <w:rPr>
          <w:rFonts w:ascii="Calibri" w:hAnsi="Calibri" w:cs="Calibri"/>
          <w:color w:val="222222"/>
          <w:shd w:val="clear" w:color="auto" w:fill="FFFFFF"/>
        </w:rPr>
        <w:t>57</w:t>
      </w:r>
      <w:r w:rsidR="00364EC8" w:rsidRPr="00BB004B">
        <w:rPr>
          <w:rFonts w:ascii="Calibri" w:hAnsi="Calibri" w:cs="Calibri"/>
          <w:color w:val="222222"/>
          <w:shd w:val="clear" w:color="auto" w:fill="FFFFFF"/>
        </w:rPr>
        <w:t xml:space="preserve">% </w:t>
      </w:r>
    </w:p>
    <w:p w14:paraId="56390823" w14:textId="2AD90A09" w:rsidR="00F67D7A" w:rsidRPr="00BB004B" w:rsidRDefault="00F67D7A" w:rsidP="007152C2">
      <w:pPr>
        <w:jc w:val="both"/>
        <w:rPr>
          <w:rFonts w:ascii="Calibri" w:hAnsi="Calibri" w:cs="Calibri"/>
          <w:b/>
          <w:bCs/>
          <w:color w:val="222222"/>
          <w:shd w:val="clear" w:color="auto" w:fill="FFFFFF"/>
        </w:rPr>
      </w:pPr>
      <w:r w:rsidRPr="00BB004B">
        <w:rPr>
          <w:rFonts w:ascii="Calibri" w:hAnsi="Calibri" w:cs="Calibri"/>
          <w:b/>
          <w:bCs/>
          <w:color w:val="222222"/>
          <w:shd w:val="clear" w:color="auto" w:fill="FFFFFF"/>
        </w:rPr>
        <w:t xml:space="preserve">Domestic </w:t>
      </w:r>
      <w:r w:rsidR="003B20F9" w:rsidRPr="00BB004B">
        <w:rPr>
          <w:rFonts w:ascii="Calibri" w:hAnsi="Calibri" w:cs="Calibri"/>
          <w:b/>
          <w:bCs/>
          <w:color w:val="222222"/>
          <w:shd w:val="clear" w:color="auto" w:fill="FFFFFF"/>
        </w:rPr>
        <w:t xml:space="preserve">Bond </w:t>
      </w:r>
      <w:r w:rsidRPr="00BB004B">
        <w:rPr>
          <w:rFonts w:ascii="Calibri" w:hAnsi="Calibri" w:cs="Calibri"/>
          <w:b/>
          <w:bCs/>
          <w:color w:val="222222"/>
          <w:shd w:val="clear" w:color="auto" w:fill="FFFFFF"/>
        </w:rPr>
        <w:t>Markets</w:t>
      </w:r>
    </w:p>
    <w:p w14:paraId="274D7B4B" w14:textId="1185D73C" w:rsidR="00A536C2" w:rsidRPr="00BB004B" w:rsidRDefault="00C22026" w:rsidP="007152C2">
      <w:pPr>
        <w:jc w:val="both"/>
        <w:rPr>
          <w:rFonts w:ascii="Calibri" w:hAnsi="Calibri" w:cs="Calibri"/>
          <w:color w:val="222222"/>
          <w:shd w:val="clear" w:color="auto" w:fill="FFFFFF"/>
        </w:rPr>
      </w:pPr>
      <w:r w:rsidRPr="00BB004B">
        <w:rPr>
          <w:rFonts w:ascii="Calibri" w:hAnsi="Calibri" w:cs="Calibri"/>
          <w:color w:val="222222"/>
          <w:shd w:val="clear" w:color="auto" w:fill="FFFFFF"/>
        </w:rPr>
        <w:t xml:space="preserve">Australian bond markets weakened through </w:t>
      </w:r>
      <w:r w:rsidR="00141EE3" w:rsidRPr="00BB004B">
        <w:rPr>
          <w:rFonts w:ascii="Calibri" w:hAnsi="Calibri" w:cs="Calibri"/>
          <w:color w:val="222222"/>
          <w:shd w:val="clear" w:color="auto" w:fill="FFFFFF"/>
        </w:rPr>
        <w:t>September</w:t>
      </w:r>
      <w:r w:rsidRPr="00BB004B">
        <w:rPr>
          <w:rFonts w:ascii="Calibri" w:hAnsi="Calibri" w:cs="Calibri"/>
          <w:color w:val="222222"/>
          <w:shd w:val="clear" w:color="auto" w:fill="FFFFFF"/>
        </w:rPr>
        <w:t xml:space="preserve"> as yields drifted higher across the curve, reflecting </w:t>
      </w:r>
      <w:r w:rsidR="000C623B" w:rsidRPr="00BB004B">
        <w:rPr>
          <w:rFonts w:ascii="Calibri" w:hAnsi="Calibri" w:cs="Calibri"/>
          <w:color w:val="222222"/>
          <w:shd w:val="clear" w:color="auto" w:fill="FFFFFF"/>
        </w:rPr>
        <w:t>repricing of global rates, persistent domestic inflation pressures,</w:t>
      </w:r>
      <w:r w:rsidRPr="00BB004B">
        <w:rPr>
          <w:rFonts w:ascii="Calibri" w:hAnsi="Calibri" w:cs="Calibri"/>
          <w:color w:val="222222"/>
          <w:shd w:val="clear" w:color="auto" w:fill="FFFFFF"/>
        </w:rPr>
        <w:t xml:space="preserve"> and a clearly hawkish tone from the Reserve Bank of Australia. </w:t>
      </w:r>
      <w:r w:rsidR="00A536C2" w:rsidRPr="00BB004B">
        <w:rPr>
          <w:rFonts w:ascii="Calibri" w:hAnsi="Calibri" w:cs="Calibri"/>
          <w:color w:val="222222"/>
          <w:shd w:val="clear" w:color="auto" w:fill="FFFFFF"/>
        </w:rPr>
        <w:t>During the month</w:t>
      </w:r>
      <w:r w:rsidR="003A2A2C" w:rsidRPr="00BB004B">
        <w:rPr>
          <w:rFonts w:ascii="Calibri" w:hAnsi="Calibri" w:cs="Calibri"/>
          <w:color w:val="222222"/>
          <w:shd w:val="clear" w:color="auto" w:fill="FFFFFF"/>
        </w:rPr>
        <w:t>,</w:t>
      </w:r>
      <w:r w:rsidR="00A536C2" w:rsidRPr="00BB004B">
        <w:rPr>
          <w:rFonts w:ascii="Calibri" w:hAnsi="Calibri" w:cs="Calibri"/>
          <w:color w:val="222222"/>
          <w:shd w:val="clear" w:color="auto" w:fill="FFFFFF"/>
        </w:rPr>
        <w:t xml:space="preserve"> the RBA </w:t>
      </w:r>
      <w:r w:rsidR="000C623B" w:rsidRPr="00BB004B">
        <w:rPr>
          <w:rFonts w:ascii="Calibri" w:hAnsi="Calibri" w:cs="Calibri"/>
          <w:color w:val="222222"/>
          <w:shd w:val="clear" w:color="auto" w:fill="FFFFFF"/>
        </w:rPr>
        <w:t xml:space="preserve">raised interest rates by 0.25% to 4.5%, with expectations that </w:t>
      </w:r>
      <w:r w:rsidR="002605A4">
        <w:rPr>
          <w:rFonts w:ascii="Calibri" w:hAnsi="Calibri" w:cs="Calibri"/>
          <w:color w:val="222222"/>
          <w:shd w:val="clear" w:color="auto" w:fill="FFFFFF"/>
        </w:rPr>
        <w:t>it may need another rate hike</w:t>
      </w:r>
      <w:r w:rsidR="000C623B" w:rsidRPr="00BB004B">
        <w:rPr>
          <w:rFonts w:ascii="Calibri" w:hAnsi="Calibri" w:cs="Calibri"/>
          <w:color w:val="222222"/>
          <w:shd w:val="clear" w:color="auto" w:fill="FFFFFF"/>
        </w:rPr>
        <w:t xml:space="preserve"> later this year if inflation does not make meaningful progress toward the 2-3% target range.</w:t>
      </w:r>
    </w:p>
    <w:p w14:paraId="660A4041" w14:textId="77777777" w:rsidR="00A70BC4" w:rsidRPr="00BB004B" w:rsidRDefault="00A70BC4" w:rsidP="007152C2">
      <w:pPr>
        <w:jc w:val="both"/>
        <w:rPr>
          <w:rFonts w:ascii="Calibri" w:hAnsi="Calibri" w:cs="Calibri"/>
          <w:color w:val="222222"/>
          <w:shd w:val="clear" w:color="auto" w:fill="FFFFFF"/>
        </w:rPr>
      </w:pPr>
    </w:p>
    <w:p w14:paraId="1B3EE73F" w14:textId="77777777" w:rsidR="005A1E22" w:rsidRPr="00BB004B" w:rsidRDefault="005A1E22" w:rsidP="007152C2">
      <w:pPr>
        <w:jc w:val="both"/>
        <w:rPr>
          <w:rFonts w:ascii="Calibri" w:hAnsi="Calibri" w:cs="Calibri"/>
          <w:color w:val="222222"/>
          <w:shd w:val="clear" w:color="auto" w:fill="FFFFFF"/>
        </w:rPr>
      </w:pPr>
    </w:p>
    <w:p w14:paraId="68131F76" w14:textId="696D8076" w:rsidR="00D72B03" w:rsidRPr="00BB004B" w:rsidRDefault="007B7DEB" w:rsidP="007152C2">
      <w:pPr>
        <w:jc w:val="both"/>
        <w:rPr>
          <w:rFonts w:ascii="Calibri" w:hAnsi="Calibri" w:cs="Calibri"/>
          <w:b/>
          <w:bCs/>
        </w:rPr>
      </w:pPr>
      <w:r w:rsidRPr="00BB004B">
        <w:rPr>
          <w:rFonts w:ascii="Calibri" w:hAnsi="Calibri" w:cs="Calibri"/>
          <w:b/>
          <w:bCs/>
        </w:rPr>
        <w:lastRenderedPageBreak/>
        <w:t>Investment</w:t>
      </w:r>
      <w:r w:rsidR="00D72B03" w:rsidRPr="00BB004B">
        <w:rPr>
          <w:rFonts w:ascii="Calibri" w:hAnsi="Calibri" w:cs="Calibri"/>
          <w:b/>
          <w:bCs/>
        </w:rPr>
        <w:t xml:space="preserve"> Climate</w:t>
      </w:r>
    </w:p>
    <w:p w14:paraId="7685FC1C" w14:textId="43AB616A" w:rsidR="00112AC6" w:rsidRPr="00BB004B" w:rsidRDefault="00112AC6" w:rsidP="00B24C6B">
      <w:pPr>
        <w:jc w:val="both"/>
        <w:rPr>
          <w:rFonts w:ascii="Calibri" w:hAnsi="Calibri" w:cs="Calibri"/>
        </w:rPr>
      </w:pPr>
      <w:r w:rsidRPr="00BB004B">
        <w:rPr>
          <w:rFonts w:ascii="Calibri" w:hAnsi="Calibri" w:cs="Calibri"/>
        </w:rPr>
        <w:t>The U.S. investment climate</w:t>
      </w:r>
      <w:r w:rsidR="00F81CE8" w:rsidRPr="00BB004B">
        <w:rPr>
          <w:rFonts w:ascii="Calibri" w:hAnsi="Calibri" w:cs="Calibri"/>
        </w:rPr>
        <w:t xml:space="preserve"> in September</w:t>
      </w:r>
      <w:r w:rsidR="00900085" w:rsidRPr="00BB004B">
        <w:rPr>
          <w:rFonts w:ascii="Calibri" w:hAnsi="Calibri" w:cs="Calibri"/>
        </w:rPr>
        <w:t xml:space="preserve"> was </w:t>
      </w:r>
      <w:r w:rsidR="008D2F67" w:rsidRPr="00BB004B">
        <w:rPr>
          <w:rFonts w:ascii="Calibri" w:hAnsi="Calibri" w:cs="Calibri"/>
        </w:rPr>
        <w:t>mixed</w:t>
      </w:r>
      <w:r w:rsidR="00F81CE8" w:rsidRPr="00BB004B">
        <w:rPr>
          <w:rFonts w:ascii="Calibri" w:hAnsi="Calibri" w:cs="Calibri"/>
        </w:rPr>
        <w:t xml:space="preserve">, with AI stocks outperforming despite increases in both bond </w:t>
      </w:r>
      <w:r w:rsidR="008D2F67" w:rsidRPr="00BB004B">
        <w:rPr>
          <w:rFonts w:ascii="Calibri" w:hAnsi="Calibri" w:cs="Calibri"/>
        </w:rPr>
        <w:t xml:space="preserve">yields and </w:t>
      </w:r>
      <w:r w:rsidR="00F81CE8" w:rsidRPr="00BB004B">
        <w:rPr>
          <w:rFonts w:ascii="Calibri" w:hAnsi="Calibri" w:cs="Calibri"/>
        </w:rPr>
        <w:t xml:space="preserve">interest rates. </w:t>
      </w:r>
      <w:r w:rsidRPr="00BB004B">
        <w:rPr>
          <w:rFonts w:ascii="Calibri" w:hAnsi="Calibri" w:cs="Calibri"/>
        </w:rPr>
        <w:t>Corporate earnings were resilient</w:t>
      </w:r>
      <w:r w:rsidR="000E29B2" w:rsidRPr="00BB004B">
        <w:rPr>
          <w:rFonts w:ascii="Calibri" w:hAnsi="Calibri" w:cs="Calibri"/>
        </w:rPr>
        <w:t>, with second-quarter earnings growth exceeding expectations,</w:t>
      </w:r>
      <w:r w:rsidR="00026C58" w:rsidRPr="00BB004B">
        <w:rPr>
          <w:rFonts w:ascii="Calibri" w:hAnsi="Calibri" w:cs="Calibri"/>
        </w:rPr>
        <w:t xml:space="preserve"> </w:t>
      </w:r>
      <w:r w:rsidRPr="00BB004B">
        <w:rPr>
          <w:rFonts w:ascii="Calibri" w:hAnsi="Calibri" w:cs="Calibri"/>
        </w:rPr>
        <w:t>and AI</w:t>
      </w:r>
      <w:r w:rsidRPr="00BB004B">
        <w:rPr>
          <w:rFonts w:ascii="Calibri" w:hAnsi="Calibri" w:cs="Calibri"/>
        </w:rPr>
        <w:noBreakHyphen/>
        <w:t xml:space="preserve">related capital investment continued to </w:t>
      </w:r>
      <w:r w:rsidR="00391DC1" w:rsidRPr="00BB004B">
        <w:rPr>
          <w:rFonts w:ascii="Calibri" w:hAnsi="Calibri" w:cs="Calibri"/>
        </w:rPr>
        <w:t>drive the economy</w:t>
      </w:r>
      <w:r w:rsidRPr="00BB004B">
        <w:rPr>
          <w:rFonts w:ascii="Calibri" w:hAnsi="Calibri" w:cs="Calibri"/>
        </w:rPr>
        <w:t>. The broader economy remained solid, supported by healthy consumer spending and robust business investment tied to the ongoing AI build</w:t>
      </w:r>
      <w:r w:rsidRPr="00BB004B">
        <w:rPr>
          <w:rFonts w:ascii="Calibri" w:hAnsi="Calibri" w:cs="Calibri"/>
        </w:rPr>
        <w:noBreakHyphen/>
        <w:t>out. Yet this strength was offset by a more fragile policy and geopolitical backdrop: inflation stayed above the Fed’s target, long</w:t>
      </w:r>
      <w:r w:rsidRPr="00BB004B">
        <w:rPr>
          <w:rFonts w:ascii="Calibri" w:hAnsi="Calibri" w:cs="Calibri"/>
        </w:rPr>
        <w:noBreakHyphen/>
        <w:t xml:space="preserve">term Treasury yields climbed toward </w:t>
      </w:r>
      <w:r w:rsidR="00026C58" w:rsidRPr="00BB004B">
        <w:rPr>
          <w:rFonts w:ascii="Calibri" w:hAnsi="Calibri" w:cs="Calibri"/>
        </w:rPr>
        <w:t>5</w:t>
      </w:r>
      <w:r w:rsidR="00473757" w:rsidRPr="00BB004B">
        <w:rPr>
          <w:rFonts w:ascii="Calibri" w:hAnsi="Calibri" w:cs="Calibri"/>
        </w:rPr>
        <w:t>.5</w:t>
      </w:r>
      <w:r w:rsidR="00026C58" w:rsidRPr="00BB004B">
        <w:rPr>
          <w:rFonts w:ascii="Calibri" w:hAnsi="Calibri" w:cs="Calibri"/>
        </w:rPr>
        <w:t>%,</w:t>
      </w:r>
      <w:r w:rsidR="00026C58" w:rsidRPr="00BB004B">
        <w:rPr>
          <w:rFonts w:ascii="Calibri" w:hAnsi="Calibri" w:cs="Calibri"/>
          <w:b/>
          <w:bCs/>
        </w:rPr>
        <w:t xml:space="preserve"> </w:t>
      </w:r>
      <w:r w:rsidRPr="00BB004B">
        <w:rPr>
          <w:rFonts w:ascii="Calibri" w:hAnsi="Calibri" w:cs="Calibri"/>
        </w:rPr>
        <w:t xml:space="preserve">and Fed Chair Warsh’s hawkish remarks </w:t>
      </w:r>
      <w:r w:rsidR="00D759A1">
        <w:rPr>
          <w:rFonts w:ascii="Calibri" w:hAnsi="Calibri" w:cs="Calibri"/>
        </w:rPr>
        <w:t>led to</w:t>
      </w:r>
      <w:r w:rsidR="000C26B7" w:rsidRPr="00BB004B">
        <w:rPr>
          <w:rFonts w:ascii="Calibri" w:hAnsi="Calibri" w:cs="Calibri"/>
        </w:rPr>
        <w:t xml:space="preserve"> an interest rate hike</w:t>
      </w:r>
      <w:r w:rsidRPr="00BB004B">
        <w:rPr>
          <w:rFonts w:ascii="Calibri" w:hAnsi="Calibri" w:cs="Calibri"/>
        </w:rPr>
        <w:t xml:space="preserve"> </w:t>
      </w:r>
      <w:r w:rsidR="001D7583" w:rsidRPr="00BB004B">
        <w:rPr>
          <w:rFonts w:ascii="Calibri" w:hAnsi="Calibri" w:cs="Calibri"/>
        </w:rPr>
        <w:t>in September</w:t>
      </w:r>
      <w:r w:rsidRPr="00BB004B">
        <w:rPr>
          <w:rFonts w:ascii="Calibri" w:hAnsi="Calibri" w:cs="Calibri"/>
        </w:rPr>
        <w:t xml:space="preserve">. </w:t>
      </w:r>
      <w:r w:rsidR="000E29B2" w:rsidRPr="00BB004B">
        <w:rPr>
          <w:rFonts w:ascii="Calibri" w:hAnsi="Calibri" w:cs="Calibri"/>
        </w:rPr>
        <w:t xml:space="preserve">Overall, </w:t>
      </w:r>
      <w:r w:rsidR="00C17444" w:rsidRPr="00BB004B">
        <w:rPr>
          <w:rFonts w:ascii="Calibri" w:hAnsi="Calibri" w:cs="Calibri"/>
        </w:rPr>
        <w:t xml:space="preserve">September felt like </w:t>
      </w:r>
      <w:r w:rsidR="00F719B2" w:rsidRPr="00BB004B">
        <w:rPr>
          <w:rFonts w:ascii="Calibri" w:hAnsi="Calibri" w:cs="Calibri"/>
        </w:rPr>
        <w:t>a</w:t>
      </w:r>
      <w:r w:rsidR="00C17444" w:rsidRPr="00BB004B">
        <w:rPr>
          <w:rFonts w:ascii="Calibri" w:hAnsi="Calibri" w:cs="Calibri"/>
        </w:rPr>
        <w:t xml:space="preserve"> month where </w:t>
      </w:r>
      <w:r w:rsidR="00F719B2" w:rsidRPr="00BB004B">
        <w:rPr>
          <w:rFonts w:ascii="Calibri" w:hAnsi="Calibri" w:cs="Calibri"/>
        </w:rPr>
        <w:t>strong AI earnings had to offset weakness from higher interest rates.</w:t>
      </w:r>
    </w:p>
    <w:p w14:paraId="63B9D1C4" w14:textId="0F4501D5" w:rsidR="00B24C6B" w:rsidRPr="00BB004B" w:rsidRDefault="00324C90" w:rsidP="007152C2">
      <w:pPr>
        <w:spacing w:before="120" w:after="120"/>
        <w:jc w:val="both"/>
        <w:rPr>
          <w:rFonts w:ascii="Calibri" w:hAnsi="Calibri" w:cs="Calibri"/>
        </w:rPr>
      </w:pPr>
      <w:r w:rsidRPr="00BB004B">
        <w:rPr>
          <w:rFonts w:ascii="Calibri" w:hAnsi="Calibri" w:cs="Calibri"/>
          <w:b/>
          <w:bCs/>
        </w:rPr>
        <w:t>Over the medium</w:t>
      </w:r>
      <w:r w:rsidR="00682D89" w:rsidRPr="00BB004B">
        <w:rPr>
          <w:rFonts w:ascii="Calibri" w:hAnsi="Calibri" w:cs="Calibri"/>
          <w:b/>
          <w:bCs/>
        </w:rPr>
        <w:t xml:space="preserve"> term,</w:t>
      </w:r>
      <w:r w:rsidR="00682D89" w:rsidRPr="00BB004B">
        <w:rPr>
          <w:rFonts w:ascii="Calibri" w:hAnsi="Calibri" w:cs="Calibri"/>
        </w:rPr>
        <w:t xml:space="preserve"> investors are encouraged by the anticipated productivity benefits from AI and the </w:t>
      </w:r>
      <w:proofErr w:type="spellStart"/>
      <w:r w:rsidR="00682D89" w:rsidRPr="00BB004B">
        <w:rPr>
          <w:rFonts w:ascii="Calibri" w:hAnsi="Calibri" w:cs="Calibri"/>
        </w:rPr>
        <w:t>hyperscalers</w:t>
      </w:r>
      <w:proofErr w:type="spellEnd"/>
      <w:r w:rsidR="00682D89" w:rsidRPr="00BB004B">
        <w:rPr>
          <w:rFonts w:ascii="Calibri" w:hAnsi="Calibri" w:cs="Calibri"/>
        </w:rPr>
        <w:t>' investments in AI</w:t>
      </w:r>
      <w:r w:rsidR="003839DD" w:rsidRPr="00BB004B">
        <w:rPr>
          <w:rFonts w:ascii="Calibri" w:hAnsi="Calibri" w:cs="Calibri"/>
        </w:rPr>
        <w:t>.</w:t>
      </w:r>
      <w:r w:rsidR="004B71B4" w:rsidRPr="00BB004B">
        <w:rPr>
          <w:rFonts w:ascii="Calibri" w:hAnsi="Calibri" w:cs="Calibri"/>
        </w:rPr>
        <w:t xml:space="preserve"> </w:t>
      </w:r>
      <w:r w:rsidR="00795532" w:rsidRPr="00BB004B">
        <w:rPr>
          <w:rFonts w:ascii="Calibri" w:hAnsi="Calibri" w:cs="Calibri"/>
        </w:rPr>
        <w:t>However,</w:t>
      </w:r>
      <w:r w:rsidR="00F14ABC" w:rsidRPr="00BB004B">
        <w:rPr>
          <w:rFonts w:ascii="Calibri" w:hAnsi="Calibri" w:cs="Calibri"/>
        </w:rPr>
        <w:t xml:space="preserve"> </w:t>
      </w:r>
      <w:r w:rsidR="00391DC1" w:rsidRPr="00BB004B">
        <w:rPr>
          <w:rFonts w:ascii="Calibri" w:hAnsi="Calibri" w:cs="Calibri"/>
        </w:rPr>
        <w:t>the unsettled nature of the bond markets due to the war in Iran has put the handbrake on short-term</w:t>
      </w:r>
      <w:r w:rsidR="000F2A98" w:rsidRPr="00BB004B">
        <w:rPr>
          <w:rFonts w:ascii="Calibri" w:hAnsi="Calibri" w:cs="Calibri"/>
        </w:rPr>
        <w:t xml:space="preserve"> </w:t>
      </w:r>
      <w:r w:rsidR="00795532" w:rsidRPr="00BB004B">
        <w:rPr>
          <w:rFonts w:ascii="Calibri" w:hAnsi="Calibri" w:cs="Calibri"/>
        </w:rPr>
        <w:t>encouragement</w:t>
      </w:r>
      <w:r w:rsidR="000F2A98" w:rsidRPr="00BB004B">
        <w:rPr>
          <w:rFonts w:ascii="Calibri" w:hAnsi="Calibri" w:cs="Calibri"/>
        </w:rPr>
        <w:t>.</w:t>
      </w:r>
      <w:r w:rsidR="00FA047F" w:rsidRPr="00BB004B">
        <w:rPr>
          <w:rFonts w:ascii="Calibri" w:hAnsi="Calibri" w:cs="Calibri"/>
        </w:rPr>
        <w:t xml:space="preserve"> If the US </w:t>
      </w:r>
      <w:r w:rsidR="00475A34" w:rsidRPr="00BB004B">
        <w:rPr>
          <w:rFonts w:ascii="Calibri" w:hAnsi="Calibri" w:cs="Calibri"/>
        </w:rPr>
        <w:t>continues to raise interest rates under its new Chairman, Kevin Walsh, the medium-term outlook becomes much less encouraging.</w:t>
      </w:r>
    </w:p>
    <w:p w14:paraId="024D1376" w14:textId="7D872997" w:rsidR="00524F93" w:rsidRPr="00BB004B" w:rsidRDefault="00524F93" w:rsidP="007152C2">
      <w:pPr>
        <w:jc w:val="both"/>
        <w:rPr>
          <w:rFonts w:ascii="Calibri" w:hAnsi="Calibri" w:cs="Calibri"/>
        </w:rPr>
      </w:pPr>
      <w:r w:rsidRPr="00BB004B">
        <w:rPr>
          <w:rFonts w:ascii="Calibri" w:hAnsi="Calibri" w:cs="Calibri"/>
          <w:b/>
          <w:bCs/>
        </w:rPr>
        <w:t>Long</w:t>
      </w:r>
      <w:r w:rsidR="00805A87" w:rsidRPr="00BB004B">
        <w:rPr>
          <w:rFonts w:ascii="Calibri" w:hAnsi="Calibri" w:cs="Calibri"/>
          <w:b/>
          <w:bCs/>
        </w:rPr>
        <w:t>-</w:t>
      </w:r>
      <w:r w:rsidRPr="00BB004B">
        <w:rPr>
          <w:rFonts w:ascii="Calibri" w:hAnsi="Calibri" w:cs="Calibri"/>
          <w:b/>
          <w:bCs/>
        </w:rPr>
        <w:t xml:space="preserve">term </w:t>
      </w:r>
      <w:r w:rsidR="0089672B" w:rsidRPr="00BB004B">
        <w:rPr>
          <w:rFonts w:ascii="Calibri" w:hAnsi="Calibri" w:cs="Calibri"/>
          <w:b/>
          <w:bCs/>
        </w:rPr>
        <w:t>investors</w:t>
      </w:r>
      <w:r w:rsidRPr="00BB004B">
        <w:rPr>
          <w:rFonts w:ascii="Calibri" w:hAnsi="Calibri" w:cs="Calibri"/>
          <w:b/>
          <w:bCs/>
        </w:rPr>
        <w:t xml:space="preserve"> </w:t>
      </w:r>
      <w:r w:rsidR="007C64CC" w:rsidRPr="00BB004B">
        <w:rPr>
          <w:rFonts w:ascii="Calibri" w:hAnsi="Calibri" w:cs="Calibri"/>
          <w:b/>
          <w:bCs/>
        </w:rPr>
        <w:t xml:space="preserve">are </w:t>
      </w:r>
      <w:r w:rsidR="00B232A3" w:rsidRPr="00BB004B">
        <w:rPr>
          <w:rFonts w:ascii="Calibri" w:hAnsi="Calibri" w:cs="Calibri"/>
          <w:b/>
          <w:bCs/>
        </w:rPr>
        <w:t>cautiously optimistic</w:t>
      </w:r>
      <w:r w:rsidRPr="00BB004B">
        <w:rPr>
          <w:rFonts w:ascii="Calibri" w:hAnsi="Calibri" w:cs="Calibri"/>
        </w:rPr>
        <w:t xml:space="preserve"> </w:t>
      </w:r>
      <w:r w:rsidR="00805A87" w:rsidRPr="00BB004B">
        <w:rPr>
          <w:rFonts w:ascii="Calibri" w:hAnsi="Calibri" w:cs="Calibri"/>
        </w:rPr>
        <w:t>about</w:t>
      </w:r>
      <w:r w:rsidRPr="00BB004B">
        <w:rPr>
          <w:rFonts w:ascii="Calibri" w:hAnsi="Calibri" w:cs="Calibri"/>
        </w:rPr>
        <w:t xml:space="preserve"> </w:t>
      </w:r>
      <w:r w:rsidR="00D1757A" w:rsidRPr="00BB004B">
        <w:rPr>
          <w:rFonts w:ascii="Calibri" w:hAnsi="Calibri" w:cs="Calibri"/>
        </w:rPr>
        <w:t>a recovery after the US war with Iran, with energy prices expected to fall over the next year</w:t>
      </w:r>
      <w:r w:rsidRPr="00BB004B">
        <w:rPr>
          <w:rFonts w:ascii="Calibri" w:hAnsi="Calibri" w:cs="Calibri"/>
        </w:rPr>
        <w:t xml:space="preserve">. Global </w:t>
      </w:r>
      <w:r w:rsidR="00805A87" w:rsidRPr="00BB004B">
        <w:rPr>
          <w:rFonts w:ascii="Calibri" w:hAnsi="Calibri" w:cs="Calibri"/>
        </w:rPr>
        <w:t xml:space="preserve">central banks continue to </w:t>
      </w:r>
      <w:r w:rsidR="00F23A1A" w:rsidRPr="00BB004B">
        <w:rPr>
          <w:rFonts w:ascii="Calibri" w:hAnsi="Calibri" w:cs="Calibri"/>
        </w:rPr>
        <w:t>signal their resolve to bring inflation under control</w:t>
      </w:r>
      <w:r w:rsidR="003561FD" w:rsidRPr="00BB004B">
        <w:rPr>
          <w:rFonts w:ascii="Calibri" w:hAnsi="Calibri" w:cs="Calibri"/>
        </w:rPr>
        <w:t xml:space="preserve">, with the US </w:t>
      </w:r>
      <w:r w:rsidR="007E533B" w:rsidRPr="00BB004B">
        <w:rPr>
          <w:rFonts w:ascii="Calibri" w:hAnsi="Calibri" w:cs="Calibri"/>
        </w:rPr>
        <w:t>raising interest rates this month after economic data showed signs of stabilisation despite elevated inflation, which could prompt further rate hikes</w:t>
      </w:r>
      <w:r w:rsidR="003561FD" w:rsidRPr="00BB004B">
        <w:rPr>
          <w:rFonts w:ascii="Calibri" w:hAnsi="Calibri" w:cs="Calibri"/>
        </w:rPr>
        <w:t xml:space="preserve"> </w:t>
      </w:r>
      <w:r w:rsidR="00926C91" w:rsidRPr="00BB004B">
        <w:rPr>
          <w:rFonts w:ascii="Calibri" w:hAnsi="Calibri" w:cs="Calibri"/>
        </w:rPr>
        <w:t>later this year and into next year</w:t>
      </w:r>
      <w:r w:rsidR="007C64CC" w:rsidRPr="00BB004B">
        <w:rPr>
          <w:rFonts w:ascii="Calibri" w:hAnsi="Calibri" w:cs="Calibri"/>
        </w:rPr>
        <w:t xml:space="preserve">. </w:t>
      </w:r>
    </w:p>
    <w:p w14:paraId="6F8EECA2" w14:textId="19E26276" w:rsidR="00025089" w:rsidRPr="00BB004B" w:rsidRDefault="00025089" w:rsidP="007152C2">
      <w:pPr>
        <w:spacing w:before="120" w:after="120" w:line="240" w:lineRule="auto"/>
        <w:jc w:val="both"/>
        <w:rPr>
          <w:rFonts w:ascii="Calibri" w:hAnsi="Calibri" w:cs="Calibri"/>
          <w:b/>
          <w:bCs/>
        </w:rPr>
      </w:pPr>
      <w:r w:rsidRPr="00BB004B">
        <w:rPr>
          <w:rFonts w:ascii="Calibri" w:hAnsi="Calibri" w:cs="Calibri"/>
          <w:b/>
          <w:bCs/>
        </w:rPr>
        <w:t xml:space="preserve">The following commentary is based on month-end closing prices as </w:t>
      </w:r>
      <w:r w:rsidR="00E97818" w:rsidRPr="00BB004B">
        <w:rPr>
          <w:rFonts w:ascii="Calibri" w:hAnsi="Calibri" w:cs="Calibri"/>
          <w:b/>
          <w:bCs/>
        </w:rPr>
        <w:t>of</w:t>
      </w:r>
      <w:r w:rsidRPr="00BB004B">
        <w:rPr>
          <w:rFonts w:ascii="Calibri" w:hAnsi="Calibri" w:cs="Calibri"/>
          <w:b/>
          <w:bCs/>
        </w:rPr>
        <w:t xml:space="preserve"> </w:t>
      </w:r>
      <w:r w:rsidR="0002386E" w:rsidRPr="00BB004B">
        <w:rPr>
          <w:rFonts w:ascii="Calibri" w:hAnsi="Calibri" w:cs="Calibri"/>
          <w:b/>
          <w:bCs/>
        </w:rPr>
        <w:t>September</w:t>
      </w:r>
      <w:r w:rsidR="00532202" w:rsidRPr="00BB004B">
        <w:rPr>
          <w:rFonts w:ascii="Calibri" w:hAnsi="Calibri" w:cs="Calibri"/>
          <w:b/>
          <w:bCs/>
        </w:rPr>
        <w:t xml:space="preserve"> </w:t>
      </w:r>
      <w:r w:rsidR="000749F7" w:rsidRPr="00BB004B">
        <w:rPr>
          <w:rFonts w:ascii="Calibri" w:hAnsi="Calibri" w:cs="Calibri"/>
          <w:b/>
          <w:bCs/>
        </w:rPr>
        <w:t>3</w:t>
      </w:r>
      <w:r w:rsidR="0002386E" w:rsidRPr="00BB004B">
        <w:rPr>
          <w:rFonts w:ascii="Calibri" w:hAnsi="Calibri" w:cs="Calibri"/>
          <w:b/>
          <w:bCs/>
        </w:rPr>
        <w:t>0</w:t>
      </w:r>
      <w:r w:rsidR="00FA6C5E" w:rsidRPr="00BB004B">
        <w:rPr>
          <w:rFonts w:ascii="Calibri" w:hAnsi="Calibri" w:cs="Calibri"/>
          <w:b/>
          <w:bCs/>
        </w:rPr>
        <w:t>,</w:t>
      </w:r>
      <w:r w:rsidRPr="00BB004B">
        <w:rPr>
          <w:rFonts w:ascii="Calibri" w:hAnsi="Calibri" w:cs="Calibri"/>
          <w:b/>
          <w:bCs/>
        </w:rPr>
        <w:t xml:space="preserve"> </w:t>
      </w:r>
      <w:r w:rsidR="002F0E91" w:rsidRPr="00BB004B">
        <w:rPr>
          <w:rFonts w:ascii="Calibri" w:hAnsi="Calibri" w:cs="Calibri"/>
          <w:b/>
          <w:bCs/>
        </w:rPr>
        <w:t>202</w:t>
      </w:r>
      <w:r w:rsidR="00E03292" w:rsidRPr="00BB004B">
        <w:rPr>
          <w:rFonts w:ascii="Calibri" w:hAnsi="Calibri" w:cs="Calibri"/>
          <w:b/>
          <w:bCs/>
        </w:rPr>
        <w:t>6</w:t>
      </w:r>
      <w:r w:rsidR="00181027" w:rsidRPr="00BB004B">
        <w:rPr>
          <w:rFonts w:ascii="Calibri" w:hAnsi="Calibri" w:cs="Calibri"/>
          <w:b/>
          <w:bCs/>
        </w:rPr>
        <w:t>:</w:t>
      </w:r>
      <w:r w:rsidRPr="00BB004B">
        <w:rPr>
          <w:rFonts w:ascii="Calibri" w:hAnsi="Calibri" w:cs="Calibri"/>
          <w:b/>
          <w:bCs/>
        </w:rPr>
        <w:t xml:space="preserve"> </w:t>
      </w:r>
    </w:p>
    <w:p w14:paraId="1C9B1309" w14:textId="6263C5C6" w:rsidR="00A769F6" w:rsidRPr="00BB004B" w:rsidRDefault="007B239A" w:rsidP="007152C2">
      <w:pPr>
        <w:spacing w:before="120" w:after="120" w:line="240" w:lineRule="auto"/>
        <w:jc w:val="both"/>
        <w:rPr>
          <w:rFonts w:ascii="Calibri" w:hAnsi="Calibri" w:cs="Calibri"/>
        </w:rPr>
      </w:pPr>
      <w:r w:rsidRPr="00BB004B">
        <w:rPr>
          <w:rFonts w:ascii="Calibri" w:hAnsi="Calibri" w:cs="Calibri"/>
        </w:rPr>
        <w:t xml:space="preserve">Global </w:t>
      </w:r>
      <w:r w:rsidR="00CB2DF1" w:rsidRPr="00BB004B">
        <w:rPr>
          <w:rFonts w:ascii="Calibri" w:hAnsi="Calibri" w:cs="Calibri"/>
        </w:rPr>
        <w:t xml:space="preserve">share </w:t>
      </w:r>
      <w:r w:rsidR="00F82AE9" w:rsidRPr="00BB004B">
        <w:rPr>
          <w:rFonts w:ascii="Calibri" w:hAnsi="Calibri" w:cs="Calibri"/>
        </w:rPr>
        <w:t xml:space="preserve">markets </w:t>
      </w:r>
      <w:r w:rsidR="00E66A84" w:rsidRPr="00BB004B">
        <w:rPr>
          <w:rFonts w:ascii="Calibri" w:hAnsi="Calibri" w:cs="Calibri"/>
        </w:rPr>
        <w:t xml:space="preserve">were </w:t>
      </w:r>
      <w:r w:rsidR="0018396D" w:rsidRPr="00BB004B">
        <w:rPr>
          <w:rFonts w:ascii="Calibri" w:hAnsi="Calibri" w:cs="Calibri"/>
        </w:rPr>
        <w:t>mixed in September</w:t>
      </w:r>
      <w:r w:rsidR="00DD518F" w:rsidRPr="00BB004B">
        <w:rPr>
          <w:rFonts w:ascii="Calibri" w:hAnsi="Calibri" w:cs="Calibri"/>
        </w:rPr>
        <w:t xml:space="preserve">, with </w:t>
      </w:r>
      <w:r w:rsidR="003C32B2" w:rsidRPr="00BB004B">
        <w:rPr>
          <w:rFonts w:ascii="Calibri" w:hAnsi="Calibri" w:cs="Calibri"/>
        </w:rPr>
        <w:t xml:space="preserve">gains in </w:t>
      </w:r>
      <w:r w:rsidR="0018396D" w:rsidRPr="00BB004B">
        <w:rPr>
          <w:rFonts w:ascii="Calibri" w:hAnsi="Calibri" w:cs="Calibri"/>
        </w:rPr>
        <w:t>the US and Japan</w:t>
      </w:r>
      <w:r w:rsidR="003C32B2" w:rsidRPr="00BB004B">
        <w:rPr>
          <w:rFonts w:ascii="Calibri" w:hAnsi="Calibri" w:cs="Calibri"/>
        </w:rPr>
        <w:t xml:space="preserve"> </w:t>
      </w:r>
      <w:r w:rsidR="00DD518F" w:rsidRPr="00BB004B">
        <w:rPr>
          <w:rFonts w:ascii="Calibri" w:hAnsi="Calibri" w:cs="Calibri"/>
        </w:rPr>
        <w:t xml:space="preserve">offsetting weakness in </w:t>
      </w:r>
      <w:r w:rsidR="0018396D" w:rsidRPr="00BB004B">
        <w:rPr>
          <w:rFonts w:ascii="Calibri" w:hAnsi="Calibri" w:cs="Calibri"/>
        </w:rPr>
        <w:t>emerging markets, Europe and Australia</w:t>
      </w:r>
      <w:r w:rsidR="00CC1C8F" w:rsidRPr="00BB004B">
        <w:rPr>
          <w:rFonts w:ascii="Calibri" w:hAnsi="Calibri" w:cs="Calibri"/>
        </w:rPr>
        <w:t xml:space="preserve">, where concerns </w:t>
      </w:r>
      <w:r w:rsidR="00391DC1" w:rsidRPr="00BB004B">
        <w:rPr>
          <w:rFonts w:ascii="Calibri" w:hAnsi="Calibri" w:cs="Calibri"/>
        </w:rPr>
        <w:t xml:space="preserve">about higher energy prices and </w:t>
      </w:r>
      <w:r w:rsidR="0018396D" w:rsidRPr="00BB004B">
        <w:rPr>
          <w:rFonts w:ascii="Calibri" w:hAnsi="Calibri" w:cs="Calibri"/>
        </w:rPr>
        <w:t xml:space="preserve">higher interest rates drove </w:t>
      </w:r>
      <w:r w:rsidR="00391DC1" w:rsidRPr="00BB004B">
        <w:rPr>
          <w:rFonts w:ascii="Calibri" w:hAnsi="Calibri" w:cs="Calibri"/>
        </w:rPr>
        <w:t>markets lower.</w:t>
      </w:r>
      <w:r w:rsidR="00DA5D5A" w:rsidRPr="00BB004B">
        <w:rPr>
          <w:rFonts w:ascii="Calibri" w:hAnsi="Calibri" w:cs="Calibri"/>
        </w:rPr>
        <w:t xml:space="preserve"> </w:t>
      </w:r>
      <w:r w:rsidR="009A131A" w:rsidRPr="00BB004B">
        <w:rPr>
          <w:rFonts w:ascii="Calibri" w:hAnsi="Calibri" w:cs="Calibri"/>
        </w:rPr>
        <w:t>I</w:t>
      </w:r>
      <w:r w:rsidR="00CD19B7" w:rsidRPr="00BB004B">
        <w:rPr>
          <w:rFonts w:ascii="Calibri" w:hAnsi="Calibri" w:cs="Calibri"/>
        </w:rPr>
        <w:t>nvestors</w:t>
      </w:r>
      <w:r w:rsidR="009A131A" w:rsidRPr="00BB004B">
        <w:rPr>
          <w:rFonts w:ascii="Calibri" w:hAnsi="Calibri" w:cs="Calibri"/>
        </w:rPr>
        <w:t xml:space="preserve"> </w:t>
      </w:r>
      <w:r w:rsidR="001A4D78" w:rsidRPr="00BB004B">
        <w:rPr>
          <w:rFonts w:ascii="Calibri" w:hAnsi="Calibri" w:cs="Calibri"/>
        </w:rPr>
        <w:t>are unsure whether geopolitical events in the Middle East will end soon, with oil rising substantially over the month, reviving fears that inflation will not subside in the near term</w:t>
      </w:r>
      <w:r w:rsidR="0044054A" w:rsidRPr="00BB004B">
        <w:rPr>
          <w:rFonts w:ascii="Calibri" w:hAnsi="Calibri" w:cs="Calibri"/>
        </w:rPr>
        <w:t>.</w:t>
      </w:r>
      <w:r w:rsidR="005D2FDE" w:rsidRPr="00BB004B">
        <w:rPr>
          <w:rFonts w:ascii="Calibri" w:hAnsi="Calibri" w:cs="Calibri"/>
        </w:rPr>
        <w:t xml:space="preserve"> The AUD/</w:t>
      </w:r>
      <w:r w:rsidR="00A769F6" w:rsidRPr="00BB004B">
        <w:rPr>
          <w:rFonts w:ascii="Calibri" w:hAnsi="Calibri" w:cs="Calibri"/>
        </w:rPr>
        <w:t>USD</w:t>
      </w:r>
      <w:r w:rsidR="00A22C87" w:rsidRPr="00BB004B">
        <w:rPr>
          <w:rFonts w:ascii="Calibri" w:hAnsi="Calibri" w:cs="Calibri"/>
        </w:rPr>
        <w:t xml:space="preserve"> </w:t>
      </w:r>
      <w:r w:rsidR="00171660" w:rsidRPr="00BB004B">
        <w:rPr>
          <w:rFonts w:ascii="Calibri" w:hAnsi="Calibri" w:cs="Calibri"/>
        </w:rPr>
        <w:t>gained</w:t>
      </w:r>
      <w:r w:rsidR="00AB7B22" w:rsidRPr="00BB004B">
        <w:rPr>
          <w:rFonts w:ascii="Calibri" w:hAnsi="Calibri" w:cs="Calibri"/>
        </w:rPr>
        <w:t xml:space="preserve"> </w:t>
      </w:r>
      <w:r w:rsidR="00391DC1" w:rsidRPr="00BB004B">
        <w:rPr>
          <w:rFonts w:ascii="Calibri" w:hAnsi="Calibri" w:cs="Calibri"/>
        </w:rPr>
        <w:t>after US</w:t>
      </w:r>
      <w:r w:rsidR="00B356B1" w:rsidRPr="00BB004B">
        <w:rPr>
          <w:rFonts w:ascii="Calibri" w:hAnsi="Calibri" w:cs="Calibri"/>
        </w:rPr>
        <w:t xml:space="preserve"> and Australian</w:t>
      </w:r>
      <w:r w:rsidR="00391DC1" w:rsidRPr="00BB004B">
        <w:rPr>
          <w:rFonts w:ascii="Calibri" w:hAnsi="Calibri" w:cs="Calibri"/>
        </w:rPr>
        <w:t xml:space="preserve"> interest rate expectations shifted </w:t>
      </w:r>
      <w:r w:rsidR="00A769F6" w:rsidRPr="00BB004B">
        <w:rPr>
          <w:rFonts w:ascii="Calibri" w:hAnsi="Calibri" w:cs="Calibri"/>
        </w:rPr>
        <w:t>from</w:t>
      </w:r>
      <w:r w:rsidR="00B712C4" w:rsidRPr="00BB004B">
        <w:rPr>
          <w:rFonts w:ascii="Calibri" w:hAnsi="Calibri" w:cs="Calibri"/>
        </w:rPr>
        <w:t xml:space="preserve"> 0.</w:t>
      </w:r>
      <w:r w:rsidR="00B356B1" w:rsidRPr="00BB004B">
        <w:rPr>
          <w:rFonts w:ascii="Calibri" w:hAnsi="Calibri" w:cs="Calibri"/>
        </w:rPr>
        <w:t xml:space="preserve">7167 </w:t>
      </w:r>
      <w:r w:rsidR="00A769F6" w:rsidRPr="00BB004B">
        <w:rPr>
          <w:rFonts w:ascii="Calibri" w:hAnsi="Calibri" w:cs="Calibri"/>
        </w:rPr>
        <w:t>to 0.</w:t>
      </w:r>
      <w:r w:rsidR="00B356B1" w:rsidRPr="00BB004B">
        <w:rPr>
          <w:rFonts w:ascii="Calibri" w:hAnsi="Calibri" w:cs="Calibri"/>
        </w:rPr>
        <w:t xml:space="preserve">6948 </w:t>
      </w:r>
      <w:r w:rsidR="0070417A" w:rsidRPr="00BB004B">
        <w:rPr>
          <w:rFonts w:ascii="Calibri" w:hAnsi="Calibri" w:cs="Calibri"/>
        </w:rPr>
        <w:t>(</w:t>
      </w:r>
      <w:r w:rsidR="00B356B1" w:rsidRPr="00BB004B">
        <w:rPr>
          <w:rFonts w:ascii="Calibri" w:hAnsi="Calibri" w:cs="Calibri"/>
        </w:rPr>
        <w:t>-2.9</w:t>
      </w:r>
      <w:r w:rsidR="00142BD6" w:rsidRPr="00BB004B">
        <w:rPr>
          <w:rFonts w:ascii="Calibri" w:hAnsi="Calibri" w:cs="Calibri"/>
        </w:rPr>
        <w:t>%</w:t>
      </w:r>
      <w:r w:rsidR="0070417A" w:rsidRPr="00BB004B">
        <w:rPr>
          <w:rFonts w:ascii="Calibri" w:hAnsi="Calibri" w:cs="Calibri"/>
        </w:rPr>
        <w:t>)</w:t>
      </w:r>
      <w:r w:rsidR="00A3250C" w:rsidRPr="00BB004B">
        <w:rPr>
          <w:rFonts w:ascii="Calibri" w:hAnsi="Calibri" w:cs="Calibri"/>
        </w:rPr>
        <w:t>.</w:t>
      </w:r>
    </w:p>
    <w:p w14:paraId="2DCB7E32" w14:textId="6B7023B9" w:rsidR="000678BF" w:rsidRPr="00BB004B" w:rsidRDefault="00BC0503" w:rsidP="00E773E0">
      <w:pPr>
        <w:spacing w:before="120" w:after="120" w:line="240" w:lineRule="auto"/>
        <w:jc w:val="both"/>
        <w:rPr>
          <w:rFonts w:ascii="Calibri" w:hAnsi="Calibri" w:cs="Calibri"/>
        </w:rPr>
      </w:pPr>
      <w:r w:rsidRPr="00BB004B">
        <w:rPr>
          <w:rFonts w:ascii="Calibri" w:hAnsi="Calibri" w:cs="Calibri"/>
        </w:rPr>
        <w:t>The U</w:t>
      </w:r>
      <w:r w:rsidR="007F0629" w:rsidRPr="00BB004B">
        <w:rPr>
          <w:rFonts w:ascii="Calibri" w:hAnsi="Calibri" w:cs="Calibri"/>
        </w:rPr>
        <w:t>.S.</w:t>
      </w:r>
      <w:r w:rsidRPr="00BB004B">
        <w:rPr>
          <w:rFonts w:ascii="Calibri" w:hAnsi="Calibri" w:cs="Calibri"/>
        </w:rPr>
        <w:t xml:space="preserve"> </w:t>
      </w:r>
      <w:r w:rsidR="00FD39EE" w:rsidRPr="00BB004B">
        <w:rPr>
          <w:rFonts w:ascii="Calibri" w:hAnsi="Calibri" w:cs="Calibri"/>
        </w:rPr>
        <w:t xml:space="preserve">Fed </w:t>
      </w:r>
      <w:r w:rsidR="00FD4894" w:rsidRPr="00BB004B">
        <w:rPr>
          <w:rFonts w:ascii="Calibri" w:hAnsi="Calibri" w:cs="Calibri"/>
        </w:rPr>
        <w:t>raised</w:t>
      </w:r>
      <w:r w:rsidR="00FD39EE" w:rsidRPr="00BB004B">
        <w:rPr>
          <w:rFonts w:ascii="Calibri" w:hAnsi="Calibri" w:cs="Calibri"/>
        </w:rPr>
        <w:t xml:space="preserve"> </w:t>
      </w:r>
      <w:r w:rsidR="00123BD7" w:rsidRPr="00BB004B">
        <w:rPr>
          <w:rFonts w:ascii="Calibri" w:hAnsi="Calibri" w:cs="Calibri"/>
        </w:rPr>
        <w:t xml:space="preserve">the federal funds rate target range </w:t>
      </w:r>
      <w:r w:rsidR="00FD4894" w:rsidRPr="00BB004B">
        <w:rPr>
          <w:rFonts w:ascii="Calibri" w:hAnsi="Calibri" w:cs="Calibri"/>
        </w:rPr>
        <w:t>to</w:t>
      </w:r>
      <w:r w:rsidRPr="00BB004B">
        <w:rPr>
          <w:rFonts w:ascii="Calibri" w:hAnsi="Calibri" w:cs="Calibri"/>
        </w:rPr>
        <w:t xml:space="preserve"> </w:t>
      </w:r>
      <w:r w:rsidR="006E4BB0" w:rsidRPr="00BB004B">
        <w:rPr>
          <w:rFonts w:ascii="Calibri" w:hAnsi="Calibri" w:cs="Calibri"/>
          <w:b/>
          <w:bCs/>
        </w:rPr>
        <w:t>3.</w:t>
      </w:r>
      <w:r w:rsidR="00FD4894" w:rsidRPr="00BB004B">
        <w:rPr>
          <w:rFonts w:ascii="Calibri" w:hAnsi="Calibri" w:cs="Calibri"/>
          <w:b/>
          <w:bCs/>
        </w:rPr>
        <w:t>75</w:t>
      </w:r>
      <w:r w:rsidRPr="00BB004B">
        <w:rPr>
          <w:rFonts w:ascii="Calibri" w:hAnsi="Calibri" w:cs="Calibri"/>
          <w:b/>
          <w:bCs/>
        </w:rPr>
        <w:t>%-</w:t>
      </w:r>
      <w:r w:rsidR="00FD4894" w:rsidRPr="00BB004B">
        <w:rPr>
          <w:rFonts w:ascii="Calibri" w:hAnsi="Calibri" w:cs="Calibri"/>
          <w:b/>
          <w:bCs/>
        </w:rPr>
        <w:t>4.00</w:t>
      </w:r>
      <w:r w:rsidRPr="00BB004B">
        <w:rPr>
          <w:rFonts w:ascii="Calibri" w:hAnsi="Calibri" w:cs="Calibri"/>
          <w:b/>
          <w:bCs/>
        </w:rPr>
        <w:t>%</w:t>
      </w:r>
      <w:r w:rsidRPr="00BB004B">
        <w:rPr>
          <w:rFonts w:ascii="Calibri" w:hAnsi="Calibri" w:cs="Calibri"/>
        </w:rPr>
        <w:t xml:space="preserve"> </w:t>
      </w:r>
      <w:r w:rsidR="00391DC1" w:rsidRPr="00BB004B">
        <w:rPr>
          <w:rFonts w:ascii="Calibri" w:hAnsi="Calibri" w:cs="Calibri"/>
        </w:rPr>
        <w:t xml:space="preserve">at its meeting on </w:t>
      </w:r>
      <w:r w:rsidR="00FD4894" w:rsidRPr="00BB004B">
        <w:rPr>
          <w:rFonts w:ascii="Calibri" w:hAnsi="Calibri" w:cs="Calibri"/>
        </w:rPr>
        <w:t>15</w:t>
      </w:r>
      <w:r w:rsidR="00391DC1" w:rsidRPr="00BB004B">
        <w:rPr>
          <w:rFonts w:ascii="Calibri" w:hAnsi="Calibri" w:cs="Calibri"/>
        </w:rPr>
        <w:t>/</w:t>
      </w:r>
      <w:r w:rsidR="00FD4894" w:rsidRPr="00BB004B">
        <w:rPr>
          <w:rFonts w:ascii="Calibri" w:hAnsi="Calibri" w:cs="Calibri"/>
        </w:rPr>
        <w:t>16</w:t>
      </w:r>
      <w:r w:rsidR="006A0D59" w:rsidRPr="00BB004B">
        <w:rPr>
          <w:rFonts w:ascii="Calibri" w:hAnsi="Calibri" w:cs="Calibri"/>
          <w:color w:val="222222"/>
          <w:shd w:val="clear" w:color="auto" w:fill="FFFFFF"/>
        </w:rPr>
        <w:t xml:space="preserve"> </w:t>
      </w:r>
      <w:r w:rsidR="00FD4894" w:rsidRPr="00BB004B">
        <w:rPr>
          <w:rFonts w:ascii="Calibri" w:hAnsi="Calibri" w:cs="Calibri"/>
          <w:color w:val="222222"/>
          <w:shd w:val="clear" w:color="auto" w:fill="FFFFFF"/>
        </w:rPr>
        <w:t>September</w:t>
      </w:r>
      <w:r w:rsidR="00E5339B" w:rsidRPr="00BB004B">
        <w:rPr>
          <w:rFonts w:ascii="Calibri" w:hAnsi="Calibri" w:cs="Calibri"/>
          <w:color w:val="222222"/>
          <w:shd w:val="clear" w:color="auto" w:fill="FFFFFF"/>
        </w:rPr>
        <w:t xml:space="preserve"> </w:t>
      </w:r>
      <w:r w:rsidR="006A0D59" w:rsidRPr="00BB004B">
        <w:rPr>
          <w:rFonts w:ascii="Calibri" w:hAnsi="Calibri" w:cs="Calibri"/>
          <w:color w:val="222222"/>
          <w:shd w:val="clear" w:color="auto" w:fill="FFFFFF"/>
        </w:rPr>
        <w:t>2026</w:t>
      </w:r>
      <w:r w:rsidRPr="00BB004B">
        <w:rPr>
          <w:rFonts w:ascii="Calibri" w:hAnsi="Calibri" w:cs="Calibri"/>
        </w:rPr>
        <w:t xml:space="preserve">. </w:t>
      </w:r>
      <w:r w:rsidR="0060235A" w:rsidRPr="00BB004B">
        <w:rPr>
          <w:rFonts w:ascii="Calibri" w:hAnsi="Calibri" w:cs="Calibri"/>
        </w:rPr>
        <w:t>Last month</w:t>
      </w:r>
      <w:r w:rsidR="00EF2696" w:rsidRPr="00BB004B">
        <w:rPr>
          <w:rFonts w:ascii="Calibri" w:hAnsi="Calibri" w:cs="Calibri"/>
        </w:rPr>
        <w:t>,</w:t>
      </w:r>
      <w:r w:rsidR="00CA480A" w:rsidRPr="00BB004B">
        <w:rPr>
          <w:rFonts w:ascii="Calibri" w:hAnsi="Calibri" w:cs="Calibri"/>
        </w:rPr>
        <w:t xml:space="preserve"> </w:t>
      </w:r>
      <w:r w:rsidR="002605A4">
        <w:rPr>
          <w:rFonts w:ascii="Calibri" w:hAnsi="Calibri" w:cs="Calibri"/>
        </w:rPr>
        <w:t xml:space="preserve">after bond yields rose, </w:t>
      </w:r>
      <w:r w:rsidR="00391DC1" w:rsidRPr="00BB004B">
        <w:rPr>
          <w:rFonts w:ascii="Calibri" w:hAnsi="Calibri" w:cs="Calibri"/>
        </w:rPr>
        <w:t xml:space="preserve">soft-landing rhetoric came under </w:t>
      </w:r>
      <w:r w:rsidR="00EA1344" w:rsidRPr="00BB004B">
        <w:rPr>
          <w:rFonts w:ascii="Calibri" w:hAnsi="Calibri" w:cs="Calibri"/>
        </w:rPr>
        <w:t xml:space="preserve">continued </w:t>
      </w:r>
      <w:r w:rsidR="00391DC1" w:rsidRPr="00BB004B">
        <w:rPr>
          <w:rFonts w:ascii="Calibri" w:hAnsi="Calibri" w:cs="Calibri"/>
        </w:rPr>
        <w:t xml:space="preserve">pressure amid expected inflation gains </w:t>
      </w:r>
      <w:r w:rsidR="00FD4894" w:rsidRPr="00BB004B">
        <w:rPr>
          <w:rFonts w:ascii="Calibri" w:hAnsi="Calibri" w:cs="Calibri"/>
        </w:rPr>
        <w:t xml:space="preserve">from the oil price spike's impact on food prices, bringing another US rate hike back into focus. </w:t>
      </w:r>
      <w:r w:rsidR="00ED4632" w:rsidRPr="00BB004B">
        <w:rPr>
          <w:rFonts w:ascii="Calibri" w:hAnsi="Calibri" w:cs="Calibri"/>
        </w:rPr>
        <w:t xml:space="preserve">The next Fed meeting is on the </w:t>
      </w:r>
      <w:r w:rsidR="0002386E" w:rsidRPr="00BB004B">
        <w:rPr>
          <w:rFonts w:ascii="Calibri" w:hAnsi="Calibri" w:cs="Calibri"/>
          <w:color w:val="222222"/>
          <w:shd w:val="clear" w:color="auto" w:fill="FFFFFF"/>
        </w:rPr>
        <w:t>27</w:t>
      </w:r>
      <w:r w:rsidR="008A1544" w:rsidRPr="00BB004B">
        <w:rPr>
          <w:rFonts w:ascii="Calibri" w:hAnsi="Calibri" w:cs="Calibri"/>
          <w:color w:val="222222"/>
          <w:shd w:val="clear" w:color="auto" w:fill="FFFFFF"/>
          <w:vertAlign w:val="superscript"/>
        </w:rPr>
        <w:t>th</w:t>
      </w:r>
      <w:r w:rsidR="00A56F79" w:rsidRPr="00BB004B">
        <w:rPr>
          <w:rFonts w:ascii="Calibri" w:hAnsi="Calibri" w:cs="Calibri"/>
          <w:color w:val="222222"/>
          <w:shd w:val="clear" w:color="auto" w:fill="FFFFFF"/>
        </w:rPr>
        <w:t>/</w:t>
      </w:r>
      <w:r w:rsidR="0002386E" w:rsidRPr="00BB004B">
        <w:rPr>
          <w:rFonts w:ascii="Calibri" w:hAnsi="Calibri" w:cs="Calibri"/>
          <w:color w:val="222222"/>
          <w:shd w:val="clear" w:color="auto" w:fill="FFFFFF"/>
        </w:rPr>
        <w:t>28</w:t>
      </w:r>
      <w:r w:rsidR="008A1544" w:rsidRPr="00BB004B">
        <w:rPr>
          <w:rFonts w:ascii="Calibri" w:hAnsi="Calibri" w:cs="Calibri"/>
          <w:color w:val="222222"/>
          <w:shd w:val="clear" w:color="auto" w:fill="FFFFFF"/>
          <w:vertAlign w:val="superscript"/>
        </w:rPr>
        <w:t>th</w:t>
      </w:r>
      <w:r w:rsidR="008A1544" w:rsidRPr="00BB004B">
        <w:rPr>
          <w:rFonts w:ascii="Calibri" w:hAnsi="Calibri" w:cs="Calibri"/>
          <w:color w:val="222222"/>
          <w:shd w:val="clear" w:color="auto" w:fill="FFFFFF"/>
        </w:rPr>
        <w:t xml:space="preserve"> </w:t>
      </w:r>
      <w:r w:rsidR="0002386E" w:rsidRPr="00BB004B">
        <w:rPr>
          <w:rFonts w:ascii="Calibri" w:hAnsi="Calibri" w:cs="Calibri"/>
          <w:color w:val="222222"/>
          <w:shd w:val="clear" w:color="auto" w:fill="FFFFFF"/>
        </w:rPr>
        <w:t>October</w:t>
      </w:r>
      <w:r w:rsidR="008A1544" w:rsidRPr="00BB004B">
        <w:rPr>
          <w:rFonts w:ascii="Calibri" w:hAnsi="Calibri" w:cs="Calibri"/>
          <w:color w:val="222222"/>
          <w:shd w:val="clear" w:color="auto" w:fill="FFFFFF"/>
        </w:rPr>
        <w:t xml:space="preserve"> 202</w:t>
      </w:r>
      <w:r w:rsidR="00857D2E" w:rsidRPr="00BB004B">
        <w:rPr>
          <w:rFonts w:ascii="Calibri" w:hAnsi="Calibri" w:cs="Calibri"/>
          <w:color w:val="222222"/>
          <w:shd w:val="clear" w:color="auto" w:fill="FFFFFF"/>
        </w:rPr>
        <w:t>6</w:t>
      </w:r>
      <w:r w:rsidR="008A1544" w:rsidRPr="00BB004B">
        <w:rPr>
          <w:rFonts w:ascii="Calibri" w:hAnsi="Calibri" w:cs="Calibri"/>
          <w:color w:val="222222"/>
          <w:shd w:val="clear" w:color="auto" w:fill="FFFFFF"/>
        </w:rPr>
        <w:t xml:space="preserve">. </w:t>
      </w:r>
    </w:p>
    <w:p w14:paraId="3EB233A4" w14:textId="02373883" w:rsidR="00BC0503" w:rsidRPr="00BB004B" w:rsidRDefault="00BC0503" w:rsidP="007152C2">
      <w:pPr>
        <w:spacing w:before="120" w:after="120" w:line="240" w:lineRule="auto"/>
        <w:jc w:val="both"/>
        <w:rPr>
          <w:rFonts w:ascii="Calibri" w:hAnsi="Calibri" w:cs="Calibri"/>
        </w:rPr>
      </w:pPr>
      <w:r w:rsidRPr="00BB004B">
        <w:rPr>
          <w:rFonts w:ascii="Calibri" w:hAnsi="Calibri" w:cs="Calibri"/>
        </w:rPr>
        <w:t xml:space="preserve">The underlying </w:t>
      </w:r>
      <w:r w:rsidR="004A3955" w:rsidRPr="00BB004B">
        <w:rPr>
          <w:rFonts w:ascii="Calibri" w:hAnsi="Calibri" w:cs="Calibri"/>
        </w:rPr>
        <w:t xml:space="preserve">short-term </w:t>
      </w:r>
      <w:r w:rsidRPr="00BB004B">
        <w:rPr>
          <w:rFonts w:ascii="Calibri" w:hAnsi="Calibri" w:cs="Calibri"/>
        </w:rPr>
        <w:t xml:space="preserve">theme is </w:t>
      </w:r>
      <w:r w:rsidR="004C57B4" w:rsidRPr="00BB004B">
        <w:rPr>
          <w:rFonts w:ascii="Calibri" w:hAnsi="Calibri" w:cs="Calibri"/>
          <w:b/>
          <w:bCs/>
        </w:rPr>
        <w:t>"</w:t>
      </w:r>
      <w:r w:rsidR="00E86106" w:rsidRPr="00BB004B">
        <w:rPr>
          <w:rFonts w:ascii="Calibri" w:hAnsi="Calibri" w:cs="Calibri"/>
          <w:b/>
          <w:bCs/>
        </w:rPr>
        <w:t xml:space="preserve">mildly </w:t>
      </w:r>
      <w:r w:rsidR="00335455" w:rsidRPr="00BB004B">
        <w:rPr>
          <w:rFonts w:ascii="Calibri" w:hAnsi="Calibri" w:cs="Calibri"/>
          <w:b/>
          <w:bCs/>
        </w:rPr>
        <w:t>cautious</w:t>
      </w:r>
      <w:r w:rsidR="004C57B4" w:rsidRPr="00BB004B">
        <w:rPr>
          <w:rFonts w:ascii="Calibri" w:hAnsi="Calibri" w:cs="Calibri"/>
          <w:b/>
          <w:bCs/>
        </w:rPr>
        <w:t>"</w:t>
      </w:r>
      <w:r w:rsidR="00FD39EE" w:rsidRPr="00BB004B">
        <w:rPr>
          <w:rFonts w:ascii="Calibri" w:hAnsi="Calibri" w:cs="Calibri"/>
          <w:b/>
          <w:bCs/>
        </w:rPr>
        <w:t xml:space="preserve"> </w:t>
      </w:r>
      <w:r w:rsidRPr="00BB004B">
        <w:rPr>
          <w:rFonts w:ascii="Calibri" w:hAnsi="Calibri" w:cs="Calibri"/>
        </w:rPr>
        <w:t>for shares</w:t>
      </w:r>
      <w:r w:rsidR="002344AE" w:rsidRPr="00BB004B">
        <w:rPr>
          <w:rFonts w:ascii="Calibri" w:hAnsi="Calibri" w:cs="Calibri"/>
        </w:rPr>
        <w:t xml:space="preserve">. </w:t>
      </w:r>
    </w:p>
    <w:p w14:paraId="17CFDA06" w14:textId="718A30E2" w:rsidR="00840936" w:rsidRPr="00BB004B" w:rsidRDefault="00F3465F" w:rsidP="007152C2">
      <w:pPr>
        <w:spacing w:before="120" w:after="120" w:line="240" w:lineRule="auto"/>
        <w:jc w:val="both"/>
        <w:rPr>
          <w:rFonts w:ascii="Calibri" w:hAnsi="Calibri" w:cs="Calibri"/>
        </w:rPr>
      </w:pPr>
      <w:r w:rsidRPr="00BB004B">
        <w:rPr>
          <w:rFonts w:ascii="Calibri" w:hAnsi="Calibri" w:cs="Calibri"/>
        </w:rPr>
        <w:t>T</w:t>
      </w:r>
      <w:r w:rsidR="00BC034A" w:rsidRPr="00BB004B">
        <w:rPr>
          <w:rFonts w:ascii="Calibri" w:hAnsi="Calibri" w:cs="Calibri"/>
        </w:rPr>
        <w:t>he</w:t>
      </w:r>
      <w:r w:rsidR="00D76073" w:rsidRPr="00BB004B">
        <w:rPr>
          <w:rFonts w:ascii="Calibri" w:hAnsi="Calibri" w:cs="Calibri"/>
        </w:rPr>
        <w:t xml:space="preserve"> situation in</w:t>
      </w:r>
      <w:r w:rsidRPr="00BB004B">
        <w:rPr>
          <w:rFonts w:ascii="Calibri" w:hAnsi="Calibri" w:cs="Calibri"/>
        </w:rPr>
        <w:t xml:space="preserve"> </w:t>
      </w:r>
      <w:r w:rsidR="004C57B4" w:rsidRPr="00BB004B">
        <w:rPr>
          <w:rFonts w:ascii="Calibri" w:hAnsi="Calibri" w:cs="Calibri"/>
        </w:rPr>
        <w:t xml:space="preserve">the </w:t>
      </w:r>
      <w:r w:rsidRPr="00BB004B">
        <w:rPr>
          <w:rFonts w:ascii="Calibri" w:hAnsi="Calibri" w:cs="Calibri"/>
        </w:rPr>
        <w:t xml:space="preserve">Russia/Ukraine </w:t>
      </w:r>
      <w:r w:rsidR="00BC034A" w:rsidRPr="00BB004B">
        <w:rPr>
          <w:rFonts w:ascii="Calibri" w:hAnsi="Calibri" w:cs="Calibri"/>
        </w:rPr>
        <w:t>conflict</w:t>
      </w:r>
      <w:r w:rsidR="00D76073" w:rsidRPr="00BB004B">
        <w:rPr>
          <w:rFonts w:ascii="Calibri" w:hAnsi="Calibri" w:cs="Calibri"/>
        </w:rPr>
        <w:t xml:space="preserve"> remains unchanged</w:t>
      </w:r>
      <w:r w:rsidR="007F5563" w:rsidRPr="00BB004B">
        <w:rPr>
          <w:rFonts w:ascii="Calibri" w:hAnsi="Calibri" w:cs="Calibri"/>
        </w:rPr>
        <w:t>,</w:t>
      </w:r>
      <w:r w:rsidR="00532202" w:rsidRPr="00BB004B">
        <w:rPr>
          <w:rFonts w:ascii="Calibri" w:hAnsi="Calibri" w:cs="Calibri"/>
        </w:rPr>
        <w:t xml:space="preserve"> </w:t>
      </w:r>
      <w:r w:rsidR="003B6A70" w:rsidRPr="00BB004B">
        <w:rPr>
          <w:rFonts w:ascii="Calibri" w:hAnsi="Calibri" w:cs="Calibri"/>
        </w:rPr>
        <w:t>with</w:t>
      </w:r>
      <w:r w:rsidR="00403EC7" w:rsidRPr="00BB004B">
        <w:rPr>
          <w:rFonts w:ascii="Calibri" w:hAnsi="Calibri" w:cs="Calibri"/>
        </w:rPr>
        <w:t xml:space="preserve"> </w:t>
      </w:r>
      <w:r w:rsidR="00802E86" w:rsidRPr="00BB004B">
        <w:rPr>
          <w:rFonts w:ascii="Calibri" w:hAnsi="Calibri" w:cs="Calibri"/>
        </w:rPr>
        <w:t>the latest conflict between Israel</w:t>
      </w:r>
      <w:r w:rsidR="00532202" w:rsidRPr="00BB004B">
        <w:rPr>
          <w:rFonts w:ascii="Calibri" w:hAnsi="Calibri" w:cs="Calibri"/>
        </w:rPr>
        <w:t xml:space="preserve"> and</w:t>
      </w:r>
      <w:r w:rsidR="00802E86" w:rsidRPr="00BB004B">
        <w:rPr>
          <w:rFonts w:ascii="Calibri" w:hAnsi="Calibri" w:cs="Calibri"/>
        </w:rPr>
        <w:t xml:space="preserve"> </w:t>
      </w:r>
      <w:r w:rsidR="00131EB9" w:rsidRPr="00BB004B">
        <w:rPr>
          <w:rFonts w:ascii="Calibri" w:hAnsi="Calibri" w:cs="Calibri"/>
        </w:rPr>
        <w:t>Gaza (</w:t>
      </w:r>
      <w:r w:rsidR="00802E86" w:rsidRPr="00BB004B">
        <w:rPr>
          <w:rFonts w:ascii="Calibri" w:hAnsi="Calibri" w:cs="Calibri"/>
        </w:rPr>
        <w:t>H</w:t>
      </w:r>
      <w:r w:rsidR="008F5026" w:rsidRPr="00BB004B">
        <w:rPr>
          <w:rFonts w:ascii="Calibri" w:hAnsi="Calibri" w:cs="Calibri"/>
        </w:rPr>
        <w:t>a</w:t>
      </w:r>
      <w:r w:rsidR="00802E86" w:rsidRPr="00BB004B">
        <w:rPr>
          <w:rFonts w:ascii="Calibri" w:hAnsi="Calibri" w:cs="Calibri"/>
        </w:rPr>
        <w:t>mas</w:t>
      </w:r>
      <w:r w:rsidR="00131EB9" w:rsidRPr="00BB004B">
        <w:rPr>
          <w:rFonts w:ascii="Calibri" w:hAnsi="Calibri" w:cs="Calibri"/>
        </w:rPr>
        <w:t xml:space="preserve">) </w:t>
      </w:r>
      <w:r w:rsidR="003B6A70" w:rsidRPr="00BB004B">
        <w:rPr>
          <w:rFonts w:ascii="Calibri" w:hAnsi="Calibri" w:cs="Calibri"/>
        </w:rPr>
        <w:t>remaining unchanged as well</w:t>
      </w:r>
      <w:r w:rsidR="00840936" w:rsidRPr="00BB004B">
        <w:rPr>
          <w:rFonts w:ascii="Calibri" w:hAnsi="Calibri" w:cs="Calibri"/>
        </w:rPr>
        <w:t>. Volatility</w:t>
      </w:r>
      <w:r w:rsidR="00335455" w:rsidRPr="00BB004B">
        <w:rPr>
          <w:rFonts w:ascii="Calibri" w:hAnsi="Calibri" w:cs="Calibri"/>
        </w:rPr>
        <w:t xml:space="preserve"> and </w:t>
      </w:r>
      <w:r w:rsidR="00AF4A5E" w:rsidRPr="00BB004B">
        <w:rPr>
          <w:rFonts w:ascii="Calibri" w:hAnsi="Calibri" w:cs="Calibri"/>
        </w:rPr>
        <w:t>risk</w:t>
      </w:r>
      <w:r w:rsidR="00840936" w:rsidRPr="00BB004B">
        <w:rPr>
          <w:rFonts w:ascii="Calibri" w:hAnsi="Calibri" w:cs="Calibri"/>
        </w:rPr>
        <w:t xml:space="preserve"> increased as the USA/Israel moved towards </w:t>
      </w:r>
      <w:r w:rsidR="001D4409" w:rsidRPr="00BB004B">
        <w:rPr>
          <w:rFonts w:ascii="Calibri" w:hAnsi="Calibri" w:cs="Calibri"/>
        </w:rPr>
        <w:t>a war with Iran</w:t>
      </w:r>
      <w:r w:rsidR="00F34A86" w:rsidRPr="00BB004B">
        <w:rPr>
          <w:rFonts w:ascii="Calibri" w:hAnsi="Calibri" w:cs="Calibri"/>
        </w:rPr>
        <w:t xml:space="preserve">, with higher energy prices keeping </w:t>
      </w:r>
      <w:r w:rsidR="0072322F" w:rsidRPr="00BB004B">
        <w:rPr>
          <w:rFonts w:ascii="Calibri" w:hAnsi="Calibri" w:cs="Calibri"/>
        </w:rPr>
        <w:t>US bond yields higher</w:t>
      </w:r>
      <w:r w:rsidR="001D4409" w:rsidRPr="00BB004B">
        <w:rPr>
          <w:rFonts w:ascii="Calibri" w:hAnsi="Calibri" w:cs="Calibri"/>
        </w:rPr>
        <w:t xml:space="preserve">. </w:t>
      </w:r>
    </w:p>
    <w:p w14:paraId="246E64DC" w14:textId="517E14F8" w:rsidR="00BC1541" w:rsidRPr="00BB004B" w:rsidRDefault="00BC1541" w:rsidP="001D4409">
      <w:pPr>
        <w:spacing w:before="120" w:after="120" w:line="240" w:lineRule="auto"/>
        <w:jc w:val="both"/>
        <w:rPr>
          <w:rFonts w:ascii="Calibri" w:hAnsi="Calibri" w:cs="Calibri"/>
          <w:b/>
          <w:bCs/>
        </w:rPr>
      </w:pPr>
      <w:r w:rsidRPr="00BB004B">
        <w:rPr>
          <w:rFonts w:ascii="Calibri" w:hAnsi="Calibri" w:cs="Calibri"/>
          <w:b/>
          <w:bCs/>
        </w:rPr>
        <w:t>Investor Focus</w:t>
      </w:r>
    </w:p>
    <w:p w14:paraId="4E857430" w14:textId="4B62EBCB" w:rsidR="00E210AE" w:rsidRPr="00BB004B" w:rsidRDefault="00257621" w:rsidP="007152C2">
      <w:pPr>
        <w:tabs>
          <w:tab w:val="left" w:pos="5520"/>
        </w:tabs>
        <w:spacing w:before="120" w:after="120" w:line="240" w:lineRule="auto"/>
        <w:jc w:val="both"/>
        <w:rPr>
          <w:rFonts w:ascii="Calibri" w:hAnsi="Calibri" w:cs="Calibri"/>
        </w:rPr>
      </w:pPr>
      <w:r w:rsidRPr="00BB004B">
        <w:rPr>
          <w:rFonts w:ascii="Calibri" w:hAnsi="Calibri" w:cs="Calibri"/>
          <w:b/>
          <w:bCs/>
        </w:rPr>
        <w:lastRenderedPageBreak/>
        <w:t>For Australia</w:t>
      </w:r>
      <w:r w:rsidRPr="00BB004B">
        <w:rPr>
          <w:rFonts w:ascii="Calibri" w:hAnsi="Calibri" w:cs="Calibri"/>
        </w:rPr>
        <w:t>, i</w:t>
      </w:r>
      <w:r w:rsidR="00CF1D42" w:rsidRPr="00BB004B">
        <w:rPr>
          <w:rFonts w:ascii="Calibri" w:hAnsi="Calibri" w:cs="Calibri"/>
        </w:rPr>
        <w:t>nvestors</w:t>
      </w:r>
      <w:r w:rsidR="009E7EF6" w:rsidRPr="00BB004B">
        <w:rPr>
          <w:rFonts w:ascii="Calibri" w:hAnsi="Calibri" w:cs="Calibri"/>
        </w:rPr>
        <w:t xml:space="preserve"> focu</w:t>
      </w:r>
      <w:r w:rsidRPr="00BB004B">
        <w:rPr>
          <w:rFonts w:ascii="Calibri" w:hAnsi="Calibri" w:cs="Calibri"/>
        </w:rPr>
        <w:t>sed o</w:t>
      </w:r>
      <w:r w:rsidR="00E52572" w:rsidRPr="00BB004B">
        <w:rPr>
          <w:rFonts w:ascii="Calibri" w:hAnsi="Calibri" w:cs="Calibri"/>
        </w:rPr>
        <w:t>n</w:t>
      </w:r>
      <w:r w:rsidR="00BC1541" w:rsidRPr="00BB004B">
        <w:rPr>
          <w:rFonts w:ascii="Calibri" w:hAnsi="Calibri" w:cs="Calibri"/>
        </w:rPr>
        <w:t xml:space="preserve"> </w:t>
      </w:r>
      <w:r w:rsidR="00E52572" w:rsidRPr="00BB004B">
        <w:rPr>
          <w:rFonts w:ascii="Calibri" w:hAnsi="Calibri" w:cs="Calibri"/>
        </w:rPr>
        <w:t>the following</w:t>
      </w:r>
      <w:r w:rsidR="00790F5A" w:rsidRPr="00BB004B">
        <w:rPr>
          <w:rFonts w:ascii="Calibri" w:hAnsi="Calibri" w:cs="Calibri"/>
        </w:rPr>
        <w:t xml:space="preserve"> issues:</w:t>
      </w:r>
    </w:p>
    <w:p w14:paraId="1159AA1C" w14:textId="50416409" w:rsidR="005200E9" w:rsidRPr="00BB004B" w:rsidRDefault="00C52E4A" w:rsidP="007152C2">
      <w:pPr>
        <w:pStyle w:val="ListParagraph"/>
        <w:numPr>
          <w:ilvl w:val="0"/>
          <w:numId w:val="6"/>
        </w:numPr>
        <w:spacing w:before="0" w:after="0" w:line="276" w:lineRule="auto"/>
        <w:ind w:left="357" w:hanging="357"/>
        <w:jc w:val="both"/>
        <w:rPr>
          <w:rFonts w:cs="Calibri"/>
          <w:szCs w:val="22"/>
        </w:rPr>
      </w:pPr>
      <w:r w:rsidRPr="00BB004B">
        <w:rPr>
          <w:rFonts w:cs="Calibri"/>
          <w:b/>
          <w:bCs/>
          <w:szCs w:val="22"/>
        </w:rPr>
        <w:t>Cost of living expenses</w:t>
      </w:r>
      <w:r w:rsidRPr="00BB004B">
        <w:rPr>
          <w:rFonts w:cs="Calibri"/>
          <w:szCs w:val="22"/>
        </w:rPr>
        <w:t xml:space="preserve"> and the impact on </w:t>
      </w:r>
      <w:r w:rsidRPr="00BB004B">
        <w:rPr>
          <w:rFonts w:cs="Calibri"/>
          <w:b/>
          <w:bCs/>
          <w:szCs w:val="22"/>
        </w:rPr>
        <w:t>consumer spending</w:t>
      </w:r>
      <w:r w:rsidR="00617146" w:rsidRPr="00BB004B">
        <w:rPr>
          <w:rFonts w:cs="Calibri"/>
          <w:szCs w:val="22"/>
        </w:rPr>
        <w:t>.</w:t>
      </w:r>
    </w:p>
    <w:p w14:paraId="71F71B01" w14:textId="71A4F2C9" w:rsidR="00C52E4A" w:rsidRPr="00BB004B" w:rsidRDefault="00131EB9" w:rsidP="007152C2">
      <w:pPr>
        <w:pStyle w:val="ListParagraph"/>
        <w:numPr>
          <w:ilvl w:val="0"/>
          <w:numId w:val="6"/>
        </w:numPr>
        <w:spacing w:before="0" w:after="0" w:line="276" w:lineRule="auto"/>
        <w:ind w:left="357" w:hanging="357"/>
        <w:jc w:val="both"/>
        <w:rPr>
          <w:rFonts w:cs="Calibri"/>
          <w:szCs w:val="22"/>
        </w:rPr>
      </w:pPr>
      <w:r w:rsidRPr="00BB004B">
        <w:rPr>
          <w:rFonts w:cs="Calibri"/>
          <w:b/>
          <w:bCs/>
          <w:szCs w:val="22"/>
        </w:rPr>
        <w:t>C</w:t>
      </w:r>
      <w:r w:rsidR="00382D5C" w:rsidRPr="00BB004B">
        <w:rPr>
          <w:rFonts w:cs="Calibri"/>
          <w:b/>
          <w:bCs/>
          <w:szCs w:val="22"/>
        </w:rPr>
        <w:t xml:space="preserve">ommodity prices </w:t>
      </w:r>
      <w:r w:rsidRPr="00BB004B">
        <w:rPr>
          <w:rFonts w:cs="Calibri"/>
          <w:szCs w:val="22"/>
        </w:rPr>
        <w:t>(post</w:t>
      </w:r>
      <w:r w:rsidR="000E3302" w:rsidRPr="00BB004B">
        <w:rPr>
          <w:rFonts w:cs="Calibri"/>
          <w:szCs w:val="22"/>
        </w:rPr>
        <w:t>-</w:t>
      </w:r>
      <w:r w:rsidRPr="00BB004B">
        <w:rPr>
          <w:rFonts w:cs="Calibri"/>
          <w:szCs w:val="22"/>
        </w:rPr>
        <w:t xml:space="preserve">China policy changes) </w:t>
      </w:r>
      <w:r w:rsidR="00382D5C" w:rsidRPr="00BB004B">
        <w:rPr>
          <w:rFonts w:cs="Calibri"/>
          <w:b/>
          <w:bCs/>
          <w:szCs w:val="22"/>
        </w:rPr>
        <w:t>and the impact on company profits</w:t>
      </w:r>
      <w:r w:rsidR="007077FC" w:rsidRPr="00BB004B">
        <w:rPr>
          <w:rFonts w:cs="Calibri"/>
          <w:b/>
          <w:bCs/>
          <w:szCs w:val="22"/>
        </w:rPr>
        <w:t>.</w:t>
      </w:r>
    </w:p>
    <w:p w14:paraId="78654FD1" w14:textId="6002F464" w:rsidR="00C52E4A" w:rsidRPr="00BB004B" w:rsidRDefault="00C52E4A" w:rsidP="007152C2">
      <w:pPr>
        <w:pStyle w:val="ListParagraph"/>
        <w:numPr>
          <w:ilvl w:val="0"/>
          <w:numId w:val="6"/>
        </w:numPr>
        <w:spacing w:before="0" w:after="0" w:line="276" w:lineRule="auto"/>
        <w:ind w:left="357" w:hanging="357"/>
        <w:jc w:val="both"/>
        <w:rPr>
          <w:rFonts w:cs="Calibri"/>
          <w:szCs w:val="22"/>
        </w:rPr>
      </w:pPr>
      <w:r w:rsidRPr="00BB004B">
        <w:rPr>
          <w:rFonts w:cs="Calibri"/>
          <w:szCs w:val="22"/>
        </w:rPr>
        <w:t xml:space="preserve">The level of </w:t>
      </w:r>
      <w:r w:rsidRPr="00BB004B">
        <w:rPr>
          <w:rFonts w:cs="Calibri"/>
          <w:b/>
          <w:bCs/>
          <w:szCs w:val="22"/>
        </w:rPr>
        <w:t>interest rates</w:t>
      </w:r>
      <w:r w:rsidRPr="00BB004B">
        <w:rPr>
          <w:rFonts w:cs="Calibri"/>
          <w:szCs w:val="22"/>
        </w:rPr>
        <w:t xml:space="preserve"> and the delicate position of the RBA</w:t>
      </w:r>
      <w:r w:rsidR="000E3302" w:rsidRPr="00BB004B">
        <w:rPr>
          <w:rFonts w:cs="Calibri"/>
          <w:szCs w:val="22"/>
        </w:rPr>
        <w:t>,</w:t>
      </w:r>
      <w:r w:rsidRPr="00BB004B">
        <w:rPr>
          <w:rFonts w:cs="Calibri"/>
          <w:szCs w:val="22"/>
        </w:rPr>
        <w:t xml:space="preserve"> given </w:t>
      </w:r>
      <w:r w:rsidR="001B3379" w:rsidRPr="00BB004B">
        <w:rPr>
          <w:rFonts w:cs="Calibri"/>
          <w:szCs w:val="22"/>
        </w:rPr>
        <w:t xml:space="preserve">the </w:t>
      </w:r>
      <w:r w:rsidR="00B562DB" w:rsidRPr="00BB004B">
        <w:rPr>
          <w:rFonts w:cs="Calibri"/>
          <w:szCs w:val="22"/>
        </w:rPr>
        <w:t>global volatility in markets</w:t>
      </w:r>
      <w:r w:rsidRPr="00BB004B">
        <w:rPr>
          <w:rFonts w:cs="Calibri"/>
          <w:szCs w:val="22"/>
        </w:rPr>
        <w:t>.</w:t>
      </w:r>
    </w:p>
    <w:p w14:paraId="098FF998" w14:textId="15614FDB" w:rsidR="001D4409" w:rsidRPr="00BB004B" w:rsidRDefault="001D4409" w:rsidP="007152C2">
      <w:pPr>
        <w:pStyle w:val="ListParagraph"/>
        <w:numPr>
          <w:ilvl w:val="0"/>
          <w:numId w:val="6"/>
        </w:numPr>
        <w:spacing w:before="0" w:after="0" w:line="276" w:lineRule="auto"/>
        <w:ind w:left="357" w:hanging="357"/>
        <w:jc w:val="both"/>
        <w:rPr>
          <w:rFonts w:cs="Calibri"/>
          <w:szCs w:val="22"/>
        </w:rPr>
      </w:pPr>
      <w:r w:rsidRPr="00BB004B">
        <w:rPr>
          <w:rFonts w:cs="Calibri"/>
          <w:b/>
          <w:bCs/>
          <w:szCs w:val="22"/>
        </w:rPr>
        <w:t>Rising Oil Prices</w:t>
      </w:r>
      <w:r w:rsidRPr="00BB004B">
        <w:rPr>
          <w:rFonts w:cs="Calibri"/>
          <w:szCs w:val="22"/>
        </w:rPr>
        <w:t xml:space="preserve"> as conflicts with Iran </w:t>
      </w:r>
      <w:r w:rsidR="002605A4">
        <w:rPr>
          <w:rFonts w:cs="Calibri"/>
          <w:szCs w:val="22"/>
        </w:rPr>
        <w:t>continue with no end in sight</w:t>
      </w:r>
    </w:p>
    <w:p w14:paraId="5B79F6A2" w14:textId="7DA02946" w:rsidR="007077FC" w:rsidRPr="00BB004B" w:rsidRDefault="007077FC" w:rsidP="007152C2">
      <w:pPr>
        <w:pStyle w:val="ListParagraph"/>
        <w:numPr>
          <w:ilvl w:val="0"/>
          <w:numId w:val="6"/>
        </w:numPr>
        <w:spacing w:before="0" w:after="0" w:line="276" w:lineRule="auto"/>
        <w:ind w:left="357" w:hanging="357"/>
        <w:jc w:val="both"/>
        <w:rPr>
          <w:rFonts w:cs="Calibri"/>
          <w:szCs w:val="22"/>
        </w:rPr>
      </w:pPr>
      <w:r w:rsidRPr="00BB004B">
        <w:rPr>
          <w:rFonts w:cs="Calibri"/>
          <w:b/>
          <w:bCs/>
          <w:szCs w:val="22"/>
        </w:rPr>
        <w:t>U</w:t>
      </w:r>
      <w:r w:rsidR="007F0629" w:rsidRPr="00BB004B">
        <w:rPr>
          <w:rFonts w:cs="Calibri"/>
          <w:b/>
          <w:bCs/>
          <w:szCs w:val="22"/>
        </w:rPr>
        <w:t>.S.</w:t>
      </w:r>
      <w:r w:rsidRPr="00BB004B">
        <w:rPr>
          <w:rFonts w:cs="Calibri"/>
          <w:b/>
          <w:bCs/>
          <w:szCs w:val="22"/>
        </w:rPr>
        <w:t xml:space="preserve"> tariffs</w:t>
      </w:r>
      <w:r w:rsidRPr="00BB004B">
        <w:rPr>
          <w:rFonts w:cs="Calibri"/>
          <w:szCs w:val="22"/>
        </w:rPr>
        <w:t xml:space="preserve"> and the impact on Australia</w:t>
      </w:r>
      <w:r w:rsidR="004C57B4" w:rsidRPr="00BB004B">
        <w:rPr>
          <w:rFonts w:cs="Calibri"/>
          <w:szCs w:val="22"/>
        </w:rPr>
        <w:t>'</w:t>
      </w:r>
      <w:r w:rsidRPr="00BB004B">
        <w:rPr>
          <w:rFonts w:cs="Calibri"/>
          <w:szCs w:val="22"/>
        </w:rPr>
        <w:t>s exports</w:t>
      </w:r>
      <w:r w:rsidR="00A25E50" w:rsidRPr="00BB004B">
        <w:rPr>
          <w:rFonts w:cs="Calibri"/>
          <w:szCs w:val="22"/>
        </w:rPr>
        <w:t xml:space="preserve"> (if any)</w:t>
      </w:r>
      <w:r w:rsidR="00B562DB" w:rsidRPr="00BB004B">
        <w:rPr>
          <w:rFonts w:cs="Calibri"/>
          <w:szCs w:val="22"/>
        </w:rPr>
        <w:t>.</w:t>
      </w:r>
    </w:p>
    <w:p w14:paraId="72D4FB61" w14:textId="39A3CA63" w:rsidR="00C52E4A" w:rsidRPr="00BB004B" w:rsidRDefault="00C52E4A" w:rsidP="007152C2">
      <w:pPr>
        <w:pStyle w:val="ListParagraph"/>
        <w:numPr>
          <w:ilvl w:val="0"/>
          <w:numId w:val="6"/>
        </w:numPr>
        <w:spacing w:before="0" w:after="0" w:line="276" w:lineRule="auto"/>
        <w:ind w:left="357" w:hanging="357"/>
        <w:jc w:val="both"/>
        <w:rPr>
          <w:rFonts w:cs="Calibri"/>
          <w:szCs w:val="22"/>
        </w:rPr>
      </w:pPr>
      <w:r w:rsidRPr="00BB004B">
        <w:rPr>
          <w:rFonts w:cs="Calibri"/>
          <w:b/>
          <w:bCs/>
          <w:szCs w:val="22"/>
        </w:rPr>
        <w:t>Inflation</w:t>
      </w:r>
      <w:r w:rsidRPr="00BB004B">
        <w:rPr>
          <w:rFonts w:cs="Calibri"/>
          <w:szCs w:val="22"/>
        </w:rPr>
        <w:t xml:space="preserve"> </w:t>
      </w:r>
      <w:r w:rsidR="00382D5C" w:rsidRPr="00BB004B">
        <w:rPr>
          <w:rFonts w:cs="Calibri"/>
          <w:szCs w:val="22"/>
        </w:rPr>
        <w:t>(</w:t>
      </w:r>
      <w:r w:rsidR="000E3302" w:rsidRPr="00BB004B">
        <w:rPr>
          <w:rFonts w:cs="Calibri"/>
          <w:szCs w:val="22"/>
        </w:rPr>
        <w:t xml:space="preserve">year-over-year) </w:t>
      </w:r>
      <w:r w:rsidR="00653E10" w:rsidRPr="00BB004B">
        <w:rPr>
          <w:rFonts w:cs="Calibri"/>
          <w:szCs w:val="22"/>
        </w:rPr>
        <w:t>increased</w:t>
      </w:r>
      <w:r w:rsidR="002E4EA7" w:rsidRPr="00BB004B">
        <w:rPr>
          <w:rFonts w:cs="Calibri"/>
          <w:szCs w:val="22"/>
        </w:rPr>
        <w:t xml:space="preserve"> to </w:t>
      </w:r>
      <w:r w:rsidR="00A2024D" w:rsidRPr="00BB004B">
        <w:rPr>
          <w:rFonts w:cs="Calibri"/>
          <w:szCs w:val="22"/>
        </w:rPr>
        <w:t>3.</w:t>
      </w:r>
      <w:r w:rsidR="00653E10" w:rsidRPr="00BB004B">
        <w:rPr>
          <w:rFonts w:cs="Calibri"/>
          <w:szCs w:val="22"/>
        </w:rPr>
        <w:t>9</w:t>
      </w:r>
      <w:r w:rsidR="00814FFF" w:rsidRPr="00BB004B">
        <w:rPr>
          <w:rFonts w:cs="Calibri"/>
          <w:szCs w:val="22"/>
        </w:rPr>
        <w:t>% i</w:t>
      </w:r>
      <w:r w:rsidR="000E3302" w:rsidRPr="00BB004B">
        <w:rPr>
          <w:rFonts w:cs="Calibri"/>
          <w:szCs w:val="22"/>
        </w:rPr>
        <w:t>n</w:t>
      </w:r>
      <w:r w:rsidR="00814FFF" w:rsidRPr="00BB004B">
        <w:rPr>
          <w:rFonts w:cs="Calibri"/>
          <w:szCs w:val="22"/>
        </w:rPr>
        <w:t xml:space="preserve"> the </w:t>
      </w:r>
      <w:r w:rsidR="00A2024D" w:rsidRPr="00BB004B">
        <w:rPr>
          <w:rFonts w:cs="Calibri"/>
          <w:szCs w:val="22"/>
        </w:rPr>
        <w:t>June</w:t>
      </w:r>
      <w:r w:rsidR="00814FFF" w:rsidRPr="00BB004B">
        <w:rPr>
          <w:rFonts w:cs="Calibri"/>
          <w:szCs w:val="22"/>
        </w:rPr>
        <w:t xml:space="preserve"> quarter</w:t>
      </w:r>
      <w:r w:rsidR="000E3302" w:rsidRPr="00BB004B">
        <w:rPr>
          <w:rFonts w:cs="Calibri"/>
          <w:szCs w:val="22"/>
        </w:rPr>
        <w:t xml:space="preserve">, with the next quarterly CPI being released on </w:t>
      </w:r>
      <w:r w:rsidR="000D4A42" w:rsidRPr="00BB004B">
        <w:rPr>
          <w:rFonts w:cs="Calibri"/>
          <w:szCs w:val="22"/>
        </w:rPr>
        <w:t>October</w:t>
      </w:r>
      <w:r w:rsidR="000E3302" w:rsidRPr="00BB004B">
        <w:rPr>
          <w:rFonts w:cs="Calibri"/>
          <w:szCs w:val="22"/>
        </w:rPr>
        <w:t xml:space="preserve"> </w:t>
      </w:r>
      <w:r w:rsidR="005D31DC" w:rsidRPr="00BB004B">
        <w:rPr>
          <w:rFonts w:cs="Calibri"/>
          <w:szCs w:val="22"/>
        </w:rPr>
        <w:t>2</w:t>
      </w:r>
      <w:r w:rsidR="000D4A42" w:rsidRPr="00BB004B">
        <w:rPr>
          <w:rFonts w:cs="Calibri"/>
          <w:szCs w:val="22"/>
        </w:rPr>
        <w:t>8</w:t>
      </w:r>
      <w:r w:rsidR="000E3302" w:rsidRPr="00BB004B">
        <w:rPr>
          <w:rFonts w:cs="Calibri"/>
          <w:szCs w:val="22"/>
        </w:rPr>
        <w:t>,</w:t>
      </w:r>
      <w:r w:rsidR="00230265" w:rsidRPr="00BB004B">
        <w:rPr>
          <w:rFonts w:cs="Calibri"/>
          <w:szCs w:val="22"/>
        </w:rPr>
        <w:t xml:space="preserve"> 202</w:t>
      </w:r>
      <w:r w:rsidR="00016E85" w:rsidRPr="00BB004B">
        <w:rPr>
          <w:rFonts w:cs="Calibri"/>
          <w:szCs w:val="22"/>
        </w:rPr>
        <w:t>6</w:t>
      </w:r>
      <w:r w:rsidR="009D7873" w:rsidRPr="00BB004B">
        <w:rPr>
          <w:rFonts w:cs="Calibri"/>
          <w:szCs w:val="22"/>
        </w:rPr>
        <w:t>.</w:t>
      </w:r>
    </w:p>
    <w:p w14:paraId="1BD9D657" w14:textId="03203F57" w:rsidR="00BF751B" w:rsidRDefault="00531BEC" w:rsidP="00827803">
      <w:pPr>
        <w:pStyle w:val="ListParagraph"/>
        <w:numPr>
          <w:ilvl w:val="0"/>
          <w:numId w:val="6"/>
        </w:numPr>
        <w:spacing w:before="0" w:after="0" w:line="276" w:lineRule="auto"/>
        <w:ind w:left="357" w:hanging="357"/>
        <w:jc w:val="both"/>
        <w:rPr>
          <w:rFonts w:cs="Calibri"/>
          <w:szCs w:val="22"/>
        </w:rPr>
      </w:pPr>
      <w:r w:rsidRPr="00BB004B">
        <w:rPr>
          <w:rFonts w:cs="Calibri"/>
          <w:b/>
          <w:bCs/>
          <w:szCs w:val="22"/>
        </w:rPr>
        <w:t xml:space="preserve">Government spending </w:t>
      </w:r>
      <w:r w:rsidRPr="00BB004B">
        <w:rPr>
          <w:rFonts w:cs="Calibri"/>
          <w:szCs w:val="22"/>
        </w:rPr>
        <w:t>and the rising debt level.</w:t>
      </w:r>
    </w:p>
    <w:p w14:paraId="67F35C08" w14:textId="06E5AEB1" w:rsidR="009F426C" w:rsidRPr="00BB004B" w:rsidRDefault="009F426C" w:rsidP="00827803">
      <w:pPr>
        <w:pStyle w:val="ListParagraph"/>
        <w:numPr>
          <w:ilvl w:val="0"/>
          <w:numId w:val="6"/>
        </w:numPr>
        <w:spacing w:before="0" w:after="0" w:line="276" w:lineRule="auto"/>
        <w:ind w:left="357" w:hanging="357"/>
        <w:jc w:val="both"/>
        <w:rPr>
          <w:rFonts w:cs="Calibri"/>
          <w:szCs w:val="22"/>
        </w:rPr>
      </w:pPr>
      <w:r>
        <w:rPr>
          <w:rFonts w:cs="Calibri"/>
          <w:b/>
          <w:bCs/>
          <w:szCs w:val="22"/>
        </w:rPr>
        <w:t xml:space="preserve">AI </w:t>
      </w:r>
      <w:r>
        <w:rPr>
          <w:rFonts w:cs="Calibri"/>
          <w:szCs w:val="22"/>
        </w:rPr>
        <w:t xml:space="preserve">and its impact on both higher corporate profits and higher unemployment. </w:t>
      </w:r>
    </w:p>
    <w:p w14:paraId="2016E5D9" w14:textId="16281830" w:rsidR="003A2EF3" w:rsidRPr="00BB004B" w:rsidRDefault="009E7EF6" w:rsidP="003A2EF3">
      <w:pPr>
        <w:spacing w:before="120" w:after="120" w:line="240" w:lineRule="auto"/>
        <w:jc w:val="both"/>
        <w:rPr>
          <w:rFonts w:ascii="Calibri" w:hAnsi="Calibri" w:cs="Calibri"/>
          <w:b/>
          <w:bCs/>
        </w:rPr>
      </w:pPr>
      <w:r w:rsidRPr="00BB004B">
        <w:rPr>
          <w:rFonts w:ascii="Calibri" w:hAnsi="Calibri" w:cs="Calibri"/>
          <w:b/>
          <w:bCs/>
        </w:rPr>
        <w:t>Currency</w:t>
      </w:r>
    </w:p>
    <w:p w14:paraId="1F2148FA" w14:textId="43F42468" w:rsidR="0096447B" w:rsidRPr="00BB004B" w:rsidRDefault="009E7EF6" w:rsidP="003A2EF3">
      <w:pPr>
        <w:spacing w:before="120" w:after="120" w:line="240" w:lineRule="auto"/>
        <w:jc w:val="both"/>
        <w:rPr>
          <w:rFonts w:ascii="Calibri" w:hAnsi="Calibri" w:cs="Calibri"/>
        </w:rPr>
      </w:pPr>
      <w:r w:rsidRPr="00BB004B">
        <w:rPr>
          <w:rFonts w:ascii="Calibri" w:hAnsi="Calibri" w:cs="Calibri"/>
        </w:rPr>
        <w:t xml:space="preserve">The </w:t>
      </w:r>
      <w:r w:rsidR="00A27DC4" w:rsidRPr="00BB004B">
        <w:rPr>
          <w:rFonts w:ascii="Calibri" w:hAnsi="Calibri" w:cs="Calibri"/>
        </w:rPr>
        <w:t>Australian Dollar</w:t>
      </w:r>
      <w:r w:rsidRPr="00BB004B">
        <w:rPr>
          <w:rFonts w:ascii="Calibri" w:hAnsi="Calibri" w:cs="Calibri"/>
        </w:rPr>
        <w:t xml:space="preserve"> closed </w:t>
      </w:r>
      <w:r w:rsidR="00C17971" w:rsidRPr="00BB004B">
        <w:rPr>
          <w:rFonts w:ascii="Calibri" w:hAnsi="Calibri" w:cs="Calibri"/>
        </w:rPr>
        <w:t>weaker</w:t>
      </w:r>
      <w:r w:rsidR="000E3302" w:rsidRPr="00BB004B">
        <w:rPr>
          <w:rFonts w:ascii="Calibri" w:hAnsi="Calibri" w:cs="Calibri"/>
        </w:rPr>
        <w:t>,</w:t>
      </w:r>
      <w:r w:rsidR="009B1992" w:rsidRPr="00BB004B">
        <w:rPr>
          <w:rFonts w:ascii="Calibri" w:hAnsi="Calibri" w:cs="Calibri"/>
        </w:rPr>
        <w:t xml:space="preserve"> </w:t>
      </w:r>
      <w:r w:rsidR="001A4D78" w:rsidRPr="00BB004B">
        <w:rPr>
          <w:rFonts w:ascii="Calibri" w:hAnsi="Calibri" w:cs="Calibri"/>
        </w:rPr>
        <w:t>with AUD/USD at 0.</w:t>
      </w:r>
      <w:r w:rsidR="00C33A6D" w:rsidRPr="00BB004B">
        <w:rPr>
          <w:rFonts w:ascii="Calibri" w:hAnsi="Calibri" w:cs="Calibri"/>
        </w:rPr>
        <w:t>6948</w:t>
      </w:r>
      <w:r w:rsidR="001A4D78" w:rsidRPr="00BB004B">
        <w:rPr>
          <w:rFonts w:ascii="Calibri" w:hAnsi="Calibri" w:cs="Calibri"/>
        </w:rPr>
        <w:t xml:space="preserve"> at the end of </w:t>
      </w:r>
      <w:r w:rsidR="00C33A6D" w:rsidRPr="00BB004B">
        <w:rPr>
          <w:rFonts w:ascii="Calibri" w:hAnsi="Calibri" w:cs="Calibri"/>
        </w:rPr>
        <w:t>September</w:t>
      </w:r>
      <w:r w:rsidR="001A4D78" w:rsidRPr="00BB004B">
        <w:rPr>
          <w:rFonts w:ascii="Calibri" w:hAnsi="Calibri" w:cs="Calibri"/>
        </w:rPr>
        <w:t xml:space="preserve"> 2026, </w:t>
      </w:r>
      <w:r w:rsidR="00C33A6D" w:rsidRPr="00BB004B">
        <w:rPr>
          <w:rFonts w:ascii="Calibri" w:hAnsi="Calibri" w:cs="Calibri"/>
        </w:rPr>
        <w:t>down</w:t>
      </w:r>
      <w:r w:rsidR="001A4D78" w:rsidRPr="00BB004B">
        <w:rPr>
          <w:rFonts w:ascii="Calibri" w:hAnsi="Calibri" w:cs="Calibri"/>
        </w:rPr>
        <w:t xml:space="preserve"> from </w:t>
      </w:r>
      <w:r w:rsidR="00C17971" w:rsidRPr="00BB004B">
        <w:rPr>
          <w:rFonts w:ascii="Calibri" w:hAnsi="Calibri" w:cs="Calibri"/>
        </w:rPr>
        <w:t xml:space="preserve">0.7167 </w:t>
      </w:r>
      <w:r w:rsidR="00F8783D" w:rsidRPr="00BB004B">
        <w:rPr>
          <w:rFonts w:ascii="Calibri" w:hAnsi="Calibri" w:cs="Calibri"/>
        </w:rPr>
        <w:t xml:space="preserve">in </w:t>
      </w:r>
      <w:r w:rsidR="00C17971" w:rsidRPr="00BB004B">
        <w:rPr>
          <w:rFonts w:ascii="Calibri" w:hAnsi="Calibri" w:cs="Calibri"/>
        </w:rPr>
        <w:t>August</w:t>
      </w:r>
      <w:r w:rsidR="00B97AD1" w:rsidRPr="00BB004B">
        <w:rPr>
          <w:rFonts w:ascii="Calibri" w:hAnsi="Calibri" w:cs="Calibri"/>
        </w:rPr>
        <w:t xml:space="preserve">. </w:t>
      </w:r>
      <w:r w:rsidR="00B16BD2" w:rsidRPr="00BB004B">
        <w:rPr>
          <w:rFonts w:ascii="Calibri" w:hAnsi="Calibri" w:cs="Calibri"/>
        </w:rPr>
        <w:t xml:space="preserve">As </w:t>
      </w:r>
      <w:r w:rsidR="00391DC1" w:rsidRPr="00BB004B">
        <w:rPr>
          <w:rFonts w:ascii="Calibri" w:hAnsi="Calibri" w:cs="Calibri"/>
        </w:rPr>
        <w:t>a 'risk currency', the Aussie dollar tends to sell</w:t>
      </w:r>
      <w:r w:rsidR="00B16BD2" w:rsidRPr="00BB004B">
        <w:rPr>
          <w:rFonts w:ascii="Calibri" w:hAnsi="Calibri" w:cs="Calibri"/>
        </w:rPr>
        <w:t xml:space="preserve"> off </w:t>
      </w:r>
      <w:r w:rsidR="00F23A1A" w:rsidRPr="00BB004B">
        <w:rPr>
          <w:rFonts w:ascii="Calibri" w:hAnsi="Calibri" w:cs="Calibri"/>
        </w:rPr>
        <w:t>during global crises</w:t>
      </w:r>
      <w:r w:rsidR="00CA2F8F" w:rsidRPr="00BB004B">
        <w:rPr>
          <w:rFonts w:ascii="Calibri" w:hAnsi="Calibri" w:cs="Calibri"/>
        </w:rPr>
        <w:t>,</w:t>
      </w:r>
      <w:r w:rsidR="00D743F3" w:rsidRPr="00BB004B">
        <w:rPr>
          <w:rFonts w:ascii="Calibri" w:hAnsi="Calibri" w:cs="Calibri"/>
        </w:rPr>
        <w:t xml:space="preserve"> as we saw in March</w:t>
      </w:r>
      <w:r w:rsidR="00B16BD2" w:rsidRPr="00BB004B">
        <w:rPr>
          <w:rFonts w:ascii="Calibri" w:hAnsi="Calibri" w:cs="Calibri"/>
        </w:rPr>
        <w:t xml:space="preserve">, regardless of local conditions. </w:t>
      </w:r>
      <w:r w:rsidR="0071167B" w:rsidRPr="00BB004B">
        <w:rPr>
          <w:rFonts w:ascii="Calibri" w:hAnsi="Calibri" w:cs="Calibri"/>
        </w:rPr>
        <w:t xml:space="preserve">The Aussie dollar was </w:t>
      </w:r>
      <w:r w:rsidR="00C33A6D" w:rsidRPr="00BB004B">
        <w:rPr>
          <w:rFonts w:ascii="Calibri" w:hAnsi="Calibri" w:cs="Calibri"/>
        </w:rPr>
        <w:t>weaker</w:t>
      </w:r>
      <w:r w:rsidR="0071167B" w:rsidRPr="00BB004B">
        <w:rPr>
          <w:rFonts w:ascii="Calibri" w:hAnsi="Calibri" w:cs="Calibri"/>
        </w:rPr>
        <w:t xml:space="preserve"> against the USD and other major currencies in </w:t>
      </w:r>
      <w:r w:rsidR="00C33A6D" w:rsidRPr="00BB004B">
        <w:rPr>
          <w:rFonts w:ascii="Calibri" w:hAnsi="Calibri" w:cs="Calibri"/>
        </w:rPr>
        <w:t>September</w:t>
      </w:r>
      <w:r w:rsidR="0071167B" w:rsidRPr="00BB004B">
        <w:rPr>
          <w:rFonts w:ascii="Calibri" w:hAnsi="Calibri" w:cs="Calibri"/>
        </w:rPr>
        <w:t xml:space="preserve">, </w:t>
      </w:r>
      <w:r w:rsidR="0096447B" w:rsidRPr="00BB004B">
        <w:rPr>
          <w:rFonts w:ascii="Calibri" w:hAnsi="Calibri" w:cs="Calibri"/>
        </w:rPr>
        <w:t xml:space="preserve">following a </w:t>
      </w:r>
      <w:r w:rsidR="002605A4">
        <w:rPr>
          <w:rFonts w:ascii="Calibri" w:hAnsi="Calibri" w:cs="Calibri"/>
        </w:rPr>
        <w:t>global shift in interest rate expectations</w:t>
      </w:r>
      <w:r w:rsidR="00747EF3" w:rsidRPr="00BB004B">
        <w:rPr>
          <w:rFonts w:ascii="Calibri" w:hAnsi="Calibri" w:cs="Calibri"/>
        </w:rPr>
        <w:t>. 2026 calendar year to date, the Australian Dollar is also up against all other major currencies.</w:t>
      </w:r>
    </w:p>
    <w:p w14:paraId="61BE8DE3" w14:textId="7146B1F0" w:rsidR="004D2D2C" w:rsidRPr="00BB004B" w:rsidRDefault="00AF67EB" w:rsidP="007152C2">
      <w:pPr>
        <w:jc w:val="both"/>
        <w:rPr>
          <w:rFonts w:ascii="Calibri" w:hAnsi="Calibri" w:cs="Calibri"/>
        </w:rPr>
      </w:pPr>
      <w:r w:rsidRPr="00BB004B">
        <w:rPr>
          <w:rFonts w:ascii="Calibri" w:hAnsi="Calibri" w:cs="Calibri"/>
          <w:noProof/>
        </w:rPr>
        <mc:AlternateContent>
          <mc:Choice Requires="wps">
            <w:drawing>
              <wp:anchor distT="45720" distB="45720" distL="114300" distR="114300" simplePos="0" relativeHeight="251658240" behindDoc="1" locked="0" layoutInCell="1" allowOverlap="1" wp14:anchorId="674A7F81" wp14:editId="6FD410C0">
                <wp:simplePos x="0" y="0"/>
                <wp:positionH relativeFrom="column">
                  <wp:posOffset>137160</wp:posOffset>
                </wp:positionH>
                <wp:positionV relativeFrom="paragraph">
                  <wp:posOffset>149860</wp:posOffset>
                </wp:positionV>
                <wp:extent cx="2183130" cy="1630680"/>
                <wp:effectExtent l="0" t="0" r="26670" b="26670"/>
                <wp:wrapTight wrapText="bothSides">
                  <wp:wrapPolygon edited="0">
                    <wp:start x="0" y="0"/>
                    <wp:lineTo x="0" y="21701"/>
                    <wp:lineTo x="21675" y="21701"/>
                    <wp:lineTo x="21675" y="0"/>
                    <wp:lineTo x="0" y="0"/>
                  </wp:wrapPolygon>
                </wp:wrapTight>
                <wp:docPr id="1542491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1630680"/>
                        </a:xfrm>
                        <a:prstGeom prst="rect">
                          <a:avLst/>
                        </a:prstGeom>
                        <a:ln w="12700">
                          <a:headEnd/>
                          <a:tailEnd/>
                        </a:ln>
                      </wps:spPr>
                      <wps:style>
                        <a:lnRef idx="2">
                          <a:schemeClr val="dk1"/>
                        </a:lnRef>
                        <a:fillRef idx="1">
                          <a:schemeClr val="lt1"/>
                        </a:fillRef>
                        <a:effectRef idx="0">
                          <a:schemeClr val="dk1"/>
                        </a:effectRef>
                        <a:fontRef idx="minor">
                          <a:schemeClr val="dk1"/>
                        </a:fontRef>
                      </wps:style>
                      <wps:txbx>
                        <w:txbxContent>
                          <w:p w14:paraId="2DF79A56" w14:textId="77777777" w:rsidR="00AF67EB" w:rsidRPr="00F7278B" w:rsidRDefault="00AF67EB" w:rsidP="008E2CED">
                            <w:pPr>
                              <w:spacing w:before="0"/>
                              <w:jc w:val="both"/>
                            </w:pPr>
                            <w:r w:rsidRPr="00F7278B">
                              <w:t>Currency forecasters see the AUD/USD range between:</w:t>
                            </w:r>
                          </w:p>
                          <w:p w14:paraId="0EE890F7" w14:textId="41BFA314" w:rsidR="00AF67EB" w:rsidRPr="00F7278B" w:rsidRDefault="00AF67EB" w:rsidP="008E2CED">
                            <w:pPr>
                              <w:spacing w:before="0"/>
                              <w:jc w:val="both"/>
                            </w:pPr>
                            <w:r w:rsidRPr="00F7278B">
                              <w:rPr>
                                <w:b/>
                                <w:bCs/>
                              </w:rPr>
                              <w:t>0.</w:t>
                            </w:r>
                            <w:r w:rsidR="001D644E" w:rsidRPr="00F7278B">
                              <w:rPr>
                                <w:b/>
                                <w:bCs/>
                              </w:rPr>
                              <w:t>65</w:t>
                            </w:r>
                            <w:r w:rsidRPr="00F7278B">
                              <w:rPr>
                                <w:b/>
                                <w:bCs/>
                              </w:rPr>
                              <w:t xml:space="preserve"> and 0.</w:t>
                            </w:r>
                            <w:r w:rsidR="00F7278B" w:rsidRPr="00F7278B">
                              <w:rPr>
                                <w:b/>
                                <w:bCs/>
                              </w:rPr>
                              <w:t>75</w:t>
                            </w:r>
                            <w:r w:rsidRPr="00F7278B">
                              <w:t xml:space="preserve"> cents in the medium term and most likely to trade within the:</w:t>
                            </w:r>
                          </w:p>
                          <w:p w14:paraId="0B0DFE4B" w14:textId="77777777" w:rsidR="00AF67EB" w:rsidRDefault="00AF67EB" w:rsidP="008E2CED">
                            <w:pPr>
                              <w:spacing w:before="0"/>
                              <w:jc w:val="both"/>
                            </w:pPr>
                            <w:r w:rsidRPr="00F7278B">
                              <w:rPr>
                                <w:b/>
                                <w:bCs/>
                              </w:rPr>
                              <w:t>0.5500 to 0.7500</w:t>
                            </w:r>
                            <w:r w:rsidRPr="00F7278B">
                              <w:t xml:space="preserve"> range in the longer term.</w:t>
                            </w:r>
                          </w:p>
                          <w:p w14:paraId="32E13D51" w14:textId="77777777" w:rsidR="00AF67EB" w:rsidRDefault="00AF67EB" w:rsidP="008E2CED">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4A7F81" id="_x0000_t202" coordsize="21600,21600" o:spt="202" path="m,l,21600r21600,l21600,xe">
                <v:stroke joinstyle="miter"/>
                <v:path gradientshapeok="t" o:connecttype="rect"/>
              </v:shapetype>
              <v:shape id="Text Box 2" o:spid="_x0000_s1026" type="#_x0000_t202" style="position:absolute;left:0;text-align:left;margin-left:10.8pt;margin-top:11.8pt;width:171.9pt;height:128.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" fillcolor="white [3201]" strokecolor="#414042 [3200]" strokeweight="1pt">
                <v:textbox>
                  <w:txbxContent>
                    <w:p w14:paraId="2DF79A56" w14:textId="77777777" w:rsidR="00AF67EB" w:rsidRPr="00F7278B" w:rsidRDefault="00AF67EB" w:rsidP="008E2CED">
                      <w:pPr>
                        <w:spacing w:before="0"/>
                        <w:jc w:val="both"/>
                      </w:pPr>
                      <w:r w:rsidRPr="00F7278B">
                        <w:t>Currency forecasters see the AUD/USD range between:</w:t>
                      </w:r>
                    </w:p>
                    <w:p w14:paraId="0EE890F7" w14:textId="41BFA314" w:rsidR="00AF67EB" w:rsidRPr="00F7278B" w:rsidRDefault="00AF67EB" w:rsidP="008E2CED">
                      <w:pPr>
                        <w:spacing w:before="0"/>
                        <w:jc w:val="both"/>
                      </w:pPr>
                      <w:r w:rsidRPr="00F7278B">
                        <w:rPr>
                          <w:b/>
                          <w:bCs/>
                        </w:rPr>
                        <w:t>0.</w:t>
                      </w:r>
                      <w:r w:rsidR="001D644E" w:rsidRPr="00F7278B">
                        <w:rPr>
                          <w:b/>
                          <w:bCs/>
                        </w:rPr>
                        <w:t>65</w:t>
                      </w:r>
                      <w:r w:rsidRPr="00F7278B">
                        <w:rPr>
                          <w:b/>
                          <w:bCs/>
                        </w:rPr>
                        <w:t xml:space="preserve"> and 0.</w:t>
                      </w:r>
                      <w:r w:rsidR="00F7278B" w:rsidRPr="00F7278B">
                        <w:rPr>
                          <w:b/>
                          <w:bCs/>
                        </w:rPr>
                        <w:t>75</w:t>
                      </w:r>
                      <w:r w:rsidRPr="00F7278B">
                        <w:t xml:space="preserve"> cents in the medium term and most likely to trade within the:</w:t>
                      </w:r>
                    </w:p>
                    <w:p w14:paraId="0B0DFE4B" w14:textId="77777777" w:rsidR="00AF67EB" w:rsidRDefault="00AF67EB" w:rsidP="008E2CED">
                      <w:pPr>
                        <w:spacing w:before="0"/>
                        <w:jc w:val="both"/>
                      </w:pPr>
                      <w:r w:rsidRPr="00F7278B">
                        <w:rPr>
                          <w:b/>
                          <w:bCs/>
                        </w:rPr>
                        <w:t>0.5500 to 0.7500</w:t>
                      </w:r>
                      <w:r w:rsidRPr="00F7278B">
                        <w:t xml:space="preserve"> range in the longer term.</w:t>
                      </w:r>
                    </w:p>
                    <w:p w14:paraId="32E13D51" w14:textId="77777777" w:rsidR="00AF67EB" w:rsidRDefault="00AF67EB" w:rsidP="008E2CED">
                      <w:pPr>
                        <w:jc w:val="both"/>
                      </w:pPr>
                    </w:p>
                  </w:txbxContent>
                </v:textbox>
                <w10:wrap type="tight"/>
              </v:shape>
            </w:pict>
          </mc:Fallback>
        </mc:AlternateContent>
      </w:r>
    </w:p>
    <w:p w14:paraId="5B75D78B" w14:textId="3BC3C9FC" w:rsidR="00A25E50" w:rsidRPr="00BB004B" w:rsidRDefault="00A25E50" w:rsidP="007152C2">
      <w:pPr>
        <w:pStyle w:val="Heading2"/>
        <w:spacing w:before="0"/>
        <w:jc w:val="both"/>
        <w:rPr>
          <w:rFonts w:ascii="Calibri" w:eastAsiaTheme="minorEastAsia" w:hAnsi="Calibri" w:cs="Calibri"/>
          <w:iCs w:val="0"/>
          <w:color w:val="414042" w:themeColor="text1"/>
          <w:sz w:val="22"/>
          <w:lang w:val="en-AU" w:bidi="ar-SA"/>
        </w:rPr>
      </w:pPr>
    </w:p>
    <w:p w14:paraId="2EA3B19C" w14:textId="1B11B4F1" w:rsidR="00A25E50" w:rsidRPr="00BB004B" w:rsidRDefault="00AD29E8" w:rsidP="00A25E50">
      <w:pPr>
        <w:rPr>
          <w:rFonts w:ascii="Calibri" w:hAnsi="Calibri" w:cs="Calibri"/>
        </w:rPr>
      </w:pPr>
      <w:r w:rsidRPr="00BB004B">
        <w:rPr>
          <w:rFonts w:ascii="Calibri" w:hAnsi="Calibri" w:cs="Calibri"/>
          <w:noProof/>
        </w:rPr>
        <w:drawing>
          <wp:inline distT="0" distB="0" distL="0" distR="0" wp14:anchorId="11574BCF" wp14:editId="772C8E00">
            <wp:extent cx="3227544" cy="771525"/>
            <wp:effectExtent l="0" t="0" r="0" b="0"/>
            <wp:docPr id="662638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38437" name=""/>
                    <pic:cNvPicPr/>
                  </pic:nvPicPr>
                  <pic:blipFill>
                    <a:blip r:embed="rId13"/>
                    <a:stretch>
                      <a:fillRect/>
                    </a:stretch>
                  </pic:blipFill>
                  <pic:spPr>
                    <a:xfrm>
                      <a:off x="0" y="0"/>
                      <a:ext cx="3308328" cy="790836"/>
                    </a:xfrm>
                    <a:prstGeom prst="rect">
                      <a:avLst/>
                    </a:prstGeom>
                  </pic:spPr>
                </pic:pic>
              </a:graphicData>
            </a:graphic>
          </wp:inline>
        </w:drawing>
      </w:r>
    </w:p>
    <w:p w14:paraId="5FB3B747" w14:textId="77777777" w:rsidR="00A25E50" w:rsidRPr="00BB004B" w:rsidRDefault="00A25E50" w:rsidP="00A25E50">
      <w:pPr>
        <w:rPr>
          <w:rFonts w:ascii="Calibri" w:hAnsi="Calibri" w:cs="Calibri"/>
        </w:rPr>
      </w:pPr>
    </w:p>
    <w:p w14:paraId="08761A0E" w14:textId="77777777" w:rsidR="000F734B" w:rsidRPr="00BB004B" w:rsidRDefault="000F734B" w:rsidP="007152C2">
      <w:pPr>
        <w:pStyle w:val="Heading2"/>
        <w:spacing w:before="0"/>
        <w:jc w:val="both"/>
        <w:rPr>
          <w:rFonts w:ascii="Calibri" w:eastAsiaTheme="minorEastAsia" w:hAnsi="Calibri" w:cs="Calibri"/>
          <w:iCs w:val="0"/>
          <w:color w:val="414042" w:themeColor="text1"/>
          <w:sz w:val="22"/>
          <w:lang w:val="en-AU" w:bidi="ar-SA"/>
        </w:rPr>
      </w:pPr>
    </w:p>
    <w:p w14:paraId="178A1257" w14:textId="5D4A5A46" w:rsidR="009E7EF6" w:rsidRPr="00BB004B" w:rsidRDefault="009E7EF6" w:rsidP="007152C2">
      <w:pPr>
        <w:pStyle w:val="Heading2"/>
        <w:spacing w:before="0"/>
        <w:jc w:val="both"/>
        <w:rPr>
          <w:rFonts w:ascii="Calibri" w:eastAsiaTheme="minorEastAsia" w:hAnsi="Calibri" w:cs="Calibri"/>
          <w:iCs w:val="0"/>
          <w:color w:val="414042" w:themeColor="text1"/>
          <w:sz w:val="22"/>
          <w:lang w:val="en-AU" w:bidi="ar-SA"/>
        </w:rPr>
      </w:pPr>
      <w:r w:rsidRPr="00BB004B">
        <w:rPr>
          <w:rFonts w:ascii="Calibri" w:eastAsiaTheme="minorEastAsia" w:hAnsi="Calibri" w:cs="Calibri"/>
          <w:iCs w:val="0"/>
          <w:color w:val="414042" w:themeColor="text1"/>
          <w:sz w:val="22"/>
          <w:lang w:val="en-AU" w:bidi="ar-SA"/>
        </w:rPr>
        <w:t>Australian Economy</w:t>
      </w:r>
    </w:p>
    <w:p w14:paraId="26EE5924" w14:textId="6E8854A1" w:rsidR="009E7EF6" w:rsidRPr="00BB004B" w:rsidRDefault="00E83078" w:rsidP="007152C2">
      <w:pPr>
        <w:spacing w:before="0" w:after="240"/>
        <w:jc w:val="both"/>
        <w:rPr>
          <w:rFonts w:ascii="Calibri" w:hAnsi="Calibri" w:cs="Calibri"/>
        </w:rPr>
      </w:pPr>
      <w:r w:rsidRPr="00BB004B">
        <w:rPr>
          <w:rFonts w:ascii="Calibri" w:hAnsi="Calibri" w:cs="Calibri"/>
        </w:rPr>
        <w:t>Australia</w:t>
      </w:r>
      <w:r w:rsidR="004C57B4" w:rsidRPr="00BB004B">
        <w:rPr>
          <w:rFonts w:ascii="Calibri" w:hAnsi="Calibri" w:cs="Calibri"/>
        </w:rPr>
        <w:t>'</w:t>
      </w:r>
      <w:r w:rsidRPr="00BB004B">
        <w:rPr>
          <w:rFonts w:ascii="Calibri" w:hAnsi="Calibri" w:cs="Calibri"/>
        </w:rPr>
        <w:t>s latest GDP data for the</w:t>
      </w:r>
      <w:r w:rsidR="00CF265D" w:rsidRPr="00BB004B">
        <w:rPr>
          <w:rFonts w:ascii="Calibri" w:hAnsi="Calibri" w:cs="Calibri"/>
        </w:rPr>
        <w:t xml:space="preserve"> </w:t>
      </w:r>
      <w:r w:rsidR="00096EF1" w:rsidRPr="00BB004B">
        <w:rPr>
          <w:rFonts w:ascii="Calibri" w:hAnsi="Calibri" w:cs="Calibri"/>
        </w:rPr>
        <w:t>second</w:t>
      </w:r>
      <w:r w:rsidRPr="00BB004B">
        <w:rPr>
          <w:rFonts w:ascii="Calibri" w:hAnsi="Calibri" w:cs="Calibri"/>
        </w:rPr>
        <w:t xml:space="preserve"> quarter of 202</w:t>
      </w:r>
      <w:r w:rsidR="00B73417" w:rsidRPr="00BB004B">
        <w:rPr>
          <w:rFonts w:ascii="Calibri" w:hAnsi="Calibri" w:cs="Calibri"/>
        </w:rPr>
        <w:t>6</w:t>
      </w:r>
      <w:r w:rsidRPr="00BB004B">
        <w:rPr>
          <w:rFonts w:ascii="Calibri" w:hAnsi="Calibri" w:cs="Calibri"/>
        </w:rPr>
        <w:t xml:space="preserve"> </w:t>
      </w:r>
      <w:r w:rsidR="000653A6" w:rsidRPr="00BB004B">
        <w:rPr>
          <w:rFonts w:ascii="Calibri" w:hAnsi="Calibri" w:cs="Calibri"/>
        </w:rPr>
        <w:t xml:space="preserve">showed </w:t>
      </w:r>
      <w:r w:rsidR="00391DC1" w:rsidRPr="00BB004B">
        <w:rPr>
          <w:rFonts w:ascii="Calibri" w:hAnsi="Calibri" w:cs="Calibri"/>
        </w:rPr>
        <w:t>annual growth of 2.</w:t>
      </w:r>
      <w:r w:rsidR="00096EF1" w:rsidRPr="00BB004B">
        <w:rPr>
          <w:rFonts w:ascii="Calibri" w:hAnsi="Calibri" w:cs="Calibri"/>
        </w:rPr>
        <w:t>1</w:t>
      </w:r>
      <w:r w:rsidR="00391DC1" w:rsidRPr="00BB004B">
        <w:rPr>
          <w:rFonts w:ascii="Calibri" w:hAnsi="Calibri" w:cs="Calibri"/>
        </w:rPr>
        <w:t xml:space="preserve">%, down slightly </w:t>
      </w:r>
      <w:r w:rsidR="004A6175" w:rsidRPr="00BB004B">
        <w:rPr>
          <w:rFonts w:ascii="Calibri" w:hAnsi="Calibri" w:cs="Calibri"/>
        </w:rPr>
        <w:t xml:space="preserve">from </w:t>
      </w:r>
      <w:r w:rsidR="00096EF1" w:rsidRPr="00BB004B">
        <w:rPr>
          <w:rFonts w:ascii="Calibri" w:hAnsi="Calibri" w:cs="Calibri"/>
        </w:rPr>
        <w:t>2.5</w:t>
      </w:r>
      <w:r w:rsidR="004A6175" w:rsidRPr="00BB004B">
        <w:rPr>
          <w:rFonts w:ascii="Calibri" w:hAnsi="Calibri" w:cs="Calibri"/>
        </w:rPr>
        <w:t>%</w:t>
      </w:r>
      <w:r w:rsidR="009C7D80" w:rsidRPr="00BB004B">
        <w:rPr>
          <w:rFonts w:ascii="Calibri" w:hAnsi="Calibri" w:cs="Calibri"/>
        </w:rPr>
        <w:t xml:space="preserve"> </w:t>
      </w:r>
      <w:r w:rsidR="001F699A" w:rsidRPr="00BB004B">
        <w:rPr>
          <w:rFonts w:ascii="Calibri" w:hAnsi="Calibri" w:cs="Calibri"/>
        </w:rPr>
        <w:t xml:space="preserve">in the </w:t>
      </w:r>
      <w:r w:rsidR="00096EF1" w:rsidRPr="00BB004B">
        <w:rPr>
          <w:rFonts w:ascii="Calibri" w:hAnsi="Calibri" w:cs="Calibri"/>
        </w:rPr>
        <w:t>first</w:t>
      </w:r>
      <w:r w:rsidRPr="00BB004B">
        <w:rPr>
          <w:rFonts w:ascii="Calibri" w:hAnsi="Calibri" w:cs="Calibri"/>
        </w:rPr>
        <w:t xml:space="preserve"> </w:t>
      </w:r>
      <w:r w:rsidR="00505DDC" w:rsidRPr="00BB004B">
        <w:rPr>
          <w:rFonts w:ascii="Calibri" w:hAnsi="Calibri" w:cs="Calibri"/>
        </w:rPr>
        <w:t xml:space="preserve">quarter </w:t>
      </w:r>
      <w:r w:rsidRPr="00BB004B">
        <w:rPr>
          <w:rFonts w:ascii="Calibri" w:hAnsi="Calibri" w:cs="Calibri"/>
        </w:rPr>
        <w:t>of 202</w:t>
      </w:r>
      <w:r w:rsidR="00096EF1" w:rsidRPr="00BB004B">
        <w:rPr>
          <w:rFonts w:ascii="Calibri" w:hAnsi="Calibri" w:cs="Calibri"/>
        </w:rPr>
        <w:t>6</w:t>
      </w:r>
      <w:r w:rsidR="002656F2" w:rsidRPr="00BB004B">
        <w:rPr>
          <w:rFonts w:ascii="Calibri" w:hAnsi="Calibri" w:cs="Calibri"/>
        </w:rPr>
        <w:t>.</w:t>
      </w:r>
      <w:r w:rsidRPr="00BB004B">
        <w:rPr>
          <w:rFonts w:ascii="Calibri" w:hAnsi="Calibri" w:cs="Calibri"/>
        </w:rPr>
        <w:t xml:space="preserve"> Unemployment </w:t>
      </w:r>
      <w:r w:rsidR="00391DC1" w:rsidRPr="00BB004B">
        <w:rPr>
          <w:rFonts w:ascii="Calibri" w:hAnsi="Calibri" w:cs="Calibri"/>
        </w:rPr>
        <w:t>rose to 4.</w:t>
      </w:r>
      <w:r w:rsidR="00DF53E7" w:rsidRPr="00BB004B">
        <w:rPr>
          <w:rFonts w:ascii="Calibri" w:hAnsi="Calibri" w:cs="Calibri"/>
        </w:rPr>
        <w:t>6</w:t>
      </w:r>
      <w:r w:rsidR="00391DC1" w:rsidRPr="00BB004B">
        <w:rPr>
          <w:rFonts w:ascii="Calibri" w:hAnsi="Calibri" w:cs="Calibri"/>
        </w:rPr>
        <w:t xml:space="preserve">% in </w:t>
      </w:r>
      <w:r w:rsidR="00DF53E7" w:rsidRPr="00BB004B">
        <w:rPr>
          <w:rFonts w:ascii="Calibri" w:hAnsi="Calibri" w:cs="Calibri"/>
        </w:rPr>
        <w:t>August</w:t>
      </w:r>
      <w:r w:rsidR="00391DC1" w:rsidRPr="00BB004B">
        <w:rPr>
          <w:rFonts w:ascii="Calibri" w:hAnsi="Calibri" w:cs="Calibri"/>
        </w:rPr>
        <w:t xml:space="preserve">, up from </w:t>
      </w:r>
      <w:r w:rsidR="00DF53E7" w:rsidRPr="00BB004B">
        <w:rPr>
          <w:rFonts w:ascii="Calibri" w:hAnsi="Calibri" w:cs="Calibri"/>
        </w:rPr>
        <w:t>4.5</w:t>
      </w:r>
      <w:r w:rsidR="00772C26" w:rsidRPr="00BB004B">
        <w:rPr>
          <w:rFonts w:ascii="Calibri" w:hAnsi="Calibri" w:cs="Calibri"/>
        </w:rPr>
        <w:t xml:space="preserve">% in </w:t>
      </w:r>
      <w:r w:rsidR="00DF53E7" w:rsidRPr="00BB004B">
        <w:rPr>
          <w:rFonts w:ascii="Calibri" w:hAnsi="Calibri" w:cs="Calibri"/>
        </w:rPr>
        <w:t>July</w:t>
      </w:r>
      <w:r w:rsidR="00772C26" w:rsidRPr="00BB004B">
        <w:rPr>
          <w:rFonts w:ascii="Calibri" w:hAnsi="Calibri" w:cs="Calibri"/>
        </w:rPr>
        <w:t xml:space="preserve"> 2026.</w:t>
      </w:r>
      <w:r w:rsidRPr="00BB004B">
        <w:rPr>
          <w:rFonts w:ascii="Calibri" w:hAnsi="Calibri" w:cs="Calibri"/>
        </w:rPr>
        <w:t xml:space="preserve"> The </w:t>
      </w:r>
      <w:r w:rsidR="000E3302" w:rsidRPr="00BB004B">
        <w:rPr>
          <w:rFonts w:ascii="Calibri" w:hAnsi="Calibri" w:cs="Calibri"/>
        </w:rPr>
        <w:t xml:space="preserve">year-over-year (Y-O-Y) inflation rate </w:t>
      </w:r>
      <w:r w:rsidR="00017238" w:rsidRPr="00BB004B">
        <w:rPr>
          <w:rFonts w:ascii="Calibri" w:hAnsi="Calibri" w:cs="Calibri"/>
        </w:rPr>
        <w:t>rose</w:t>
      </w:r>
      <w:r w:rsidR="00391DC1" w:rsidRPr="00BB004B">
        <w:rPr>
          <w:rFonts w:ascii="Calibri" w:hAnsi="Calibri" w:cs="Calibri"/>
        </w:rPr>
        <w:t xml:space="preserve"> to 3.</w:t>
      </w:r>
      <w:r w:rsidR="00B81323" w:rsidRPr="00BB004B">
        <w:rPr>
          <w:rFonts w:ascii="Calibri" w:hAnsi="Calibri" w:cs="Calibri"/>
        </w:rPr>
        <w:t>9</w:t>
      </w:r>
      <w:r w:rsidR="00391DC1" w:rsidRPr="00BB004B">
        <w:rPr>
          <w:rFonts w:ascii="Calibri" w:hAnsi="Calibri" w:cs="Calibri"/>
        </w:rPr>
        <w:t xml:space="preserve">% from </w:t>
      </w:r>
      <w:r w:rsidR="00017238" w:rsidRPr="00BB004B">
        <w:rPr>
          <w:rFonts w:ascii="Calibri" w:hAnsi="Calibri" w:cs="Calibri"/>
        </w:rPr>
        <w:t>3.5</w:t>
      </w:r>
      <w:r w:rsidR="00391DC1" w:rsidRPr="00BB004B">
        <w:rPr>
          <w:rFonts w:ascii="Calibri" w:hAnsi="Calibri" w:cs="Calibri"/>
        </w:rPr>
        <w:t xml:space="preserve">% in </w:t>
      </w:r>
      <w:r w:rsidR="00B81323" w:rsidRPr="00BB004B">
        <w:rPr>
          <w:rFonts w:ascii="Calibri" w:hAnsi="Calibri" w:cs="Calibri"/>
        </w:rPr>
        <w:t>July</w:t>
      </w:r>
      <w:r w:rsidR="00391DC1" w:rsidRPr="00BB004B">
        <w:rPr>
          <w:rFonts w:ascii="Calibri" w:hAnsi="Calibri" w:cs="Calibri"/>
        </w:rPr>
        <w:t xml:space="preserve"> 2026, </w:t>
      </w:r>
      <w:r w:rsidR="002605A4">
        <w:rPr>
          <w:rFonts w:ascii="Calibri" w:hAnsi="Calibri" w:cs="Calibri"/>
        </w:rPr>
        <w:t>remains outside the Reserve Bank's targeted 2% to 3% inflation range,</w:t>
      </w:r>
      <w:r w:rsidR="00391DC1" w:rsidRPr="00BB004B">
        <w:rPr>
          <w:rFonts w:ascii="Calibri" w:hAnsi="Calibri" w:cs="Calibri"/>
        </w:rPr>
        <w:t xml:space="preserve"> and could still </w:t>
      </w:r>
      <w:r w:rsidR="00F23A1A" w:rsidRPr="00BB004B">
        <w:rPr>
          <w:rFonts w:ascii="Calibri" w:hAnsi="Calibri" w:cs="Calibri"/>
        </w:rPr>
        <w:t>prompt</w:t>
      </w:r>
      <w:r w:rsidR="00BA3B00" w:rsidRPr="00BB004B">
        <w:rPr>
          <w:rFonts w:ascii="Calibri" w:hAnsi="Calibri" w:cs="Calibri"/>
        </w:rPr>
        <w:t xml:space="preserve"> a</w:t>
      </w:r>
      <w:r w:rsidR="007B1C08" w:rsidRPr="00BB004B">
        <w:rPr>
          <w:rFonts w:ascii="Calibri" w:hAnsi="Calibri" w:cs="Calibri"/>
        </w:rPr>
        <w:t xml:space="preserve">nother </w:t>
      </w:r>
      <w:r w:rsidR="00BA3B00" w:rsidRPr="00BB004B">
        <w:rPr>
          <w:rFonts w:ascii="Calibri" w:hAnsi="Calibri" w:cs="Calibri"/>
        </w:rPr>
        <w:t xml:space="preserve">rate hike </w:t>
      </w:r>
      <w:r w:rsidR="007B1C08" w:rsidRPr="00BB004B">
        <w:rPr>
          <w:rFonts w:ascii="Calibri" w:hAnsi="Calibri" w:cs="Calibri"/>
        </w:rPr>
        <w:t>later this year</w:t>
      </w:r>
      <w:r w:rsidR="009E7EF6" w:rsidRPr="00BB004B">
        <w:rPr>
          <w:rFonts w:ascii="Calibri" w:hAnsi="Calibri" w:cs="Calibri"/>
        </w:rPr>
        <w:t xml:space="preserve">. </w:t>
      </w:r>
    </w:p>
    <w:p w14:paraId="2527D827" w14:textId="257D4AD9" w:rsidR="00147535" w:rsidRPr="00BB004B" w:rsidRDefault="00C55A3C" w:rsidP="00827803">
      <w:pPr>
        <w:spacing w:before="0" w:after="0"/>
        <w:jc w:val="center"/>
      </w:pPr>
      <w:r w:rsidRPr="00BB004B">
        <w:rPr>
          <w:noProof/>
        </w:rPr>
        <w:lastRenderedPageBreak/>
        <w:drawing>
          <wp:inline distT="0" distB="0" distL="0" distR="0" wp14:anchorId="652A0F95" wp14:editId="19A4BC18">
            <wp:extent cx="2880610" cy="2453853"/>
            <wp:effectExtent l="0" t="0" r="0" b="3810"/>
            <wp:docPr id="134603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30056" name=""/>
                    <pic:cNvPicPr/>
                  </pic:nvPicPr>
                  <pic:blipFill>
                    <a:blip r:embed="rId14"/>
                    <a:stretch>
                      <a:fillRect/>
                    </a:stretch>
                  </pic:blipFill>
                  <pic:spPr>
                    <a:xfrm>
                      <a:off x="0" y="0"/>
                      <a:ext cx="2880610" cy="2453853"/>
                    </a:xfrm>
                    <a:prstGeom prst="rect">
                      <a:avLst/>
                    </a:prstGeom>
                  </pic:spPr>
                </pic:pic>
              </a:graphicData>
            </a:graphic>
          </wp:inline>
        </w:drawing>
      </w:r>
      <w:r w:rsidR="00F622E8" w:rsidRPr="00BB004B">
        <w:rPr>
          <w:noProof/>
        </w:rPr>
        <w:drawing>
          <wp:inline distT="0" distB="0" distL="0" distR="0" wp14:anchorId="52AD2FA9" wp14:editId="590A5583">
            <wp:extent cx="2606266" cy="2453853"/>
            <wp:effectExtent l="0" t="0" r="3810" b="3810"/>
            <wp:docPr id="1808693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93530" name=""/>
                    <pic:cNvPicPr/>
                  </pic:nvPicPr>
                  <pic:blipFill>
                    <a:blip r:embed="rId15"/>
                    <a:stretch>
                      <a:fillRect/>
                    </a:stretch>
                  </pic:blipFill>
                  <pic:spPr>
                    <a:xfrm>
                      <a:off x="0" y="0"/>
                      <a:ext cx="2606266" cy="2453853"/>
                    </a:xfrm>
                    <a:prstGeom prst="rect">
                      <a:avLst/>
                    </a:prstGeom>
                  </pic:spPr>
                </pic:pic>
              </a:graphicData>
            </a:graphic>
          </wp:inline>
        </w:drawing>
      </w:r>
    </w:p>
    <w:p w14:paraId="13598D04" w14:textId="2D54B170" w:rsidR="009E7EF6" w:rsidRPr="00BB004B" w:rsidRDefault="00147535" w:rsidP="007152C2">
      <w:pPr>
        <w:pStyle w:val="Heading2"/>
        <w:jc w:val="both"/>
        <w:rPr>
          <w:rFonts w:ascii="Calibri" w:eastAsiaTheme="minorEastAsia" w:hAnsi="Calibri" w:cs="Calibri"/>
          <w:iCs w:val="0"/>
          <w:color w:val="414042" w:themeColor="text1"/>
          <w:sz w:val="22"/>
          <w:lang w:val="en-AU" w:bidi="ar-SA"/>
        </w:rPr>
      </w:pPr>
      <w:r w:rsidRPr="00BB004B">
        <w:rPr>
          <w:rFonts w:ascii="Calibri" w:eastAsiaTheme="minorEastAsia" w:hAnsi="Calibri" w:cs="Calibri"/>
          <w:iCs w:val="0"/>
          <w:color w:val="414042" w:themeColor="text1"/>
          <w:sz w:val="22"/>
          <w:lang w:val="en-AU" w:bidi="ar-SA"/>
        </w:rPr>
        <w:t>Curr</w:t>
      </w:r>
      <w:r w:rsidR="009E7EF6" w:rsidRPr="00BB004B">
        <w:rPr>
          <w:rFonts w:ascii="Calibri" w:eastAsiaTheme="minorEastAsia" w:hAnsi="Calibri" w:cs="Calibri"/>
          <w:iCs w:val="0"/>
          <w:color w:val="414042" w:themeColor="text1"/>
          <w:sz w:val="22"/>
          <w:lang w:val="en-AU" w:bidi="ar-SA"/>
        </w:rPr>
        <w:t>ent Market View</w:t>
      </w:r>
    </w:p>
    <w:p w14:paraId="6D8387E0" w14:textId="77777777" w:rsidR="009E7EF6" w:rsidRPr="00BB004B" w:rsidRDefault="009E7EF6" w:rsidP="007152C2">
      <w:pPr>
        <w:pStyle w:val="Heading3"/>
        <w:jc w:val="both"/>
        <w:rPr>
          <w:rFonts w:ascii="Calibri" w:eastAsiaTheme="minorEastAsia" w:hAnsi="Calibri" w:cs="Calibri"/>
          <w:iCs w:val="0"/>
          <w:caps w:val="0"/>
          <w:color w:val="414042" w:themeColor="text1"/>
          <w:lang w:val="en-AU" w:bidi="ar-SA"/>
        </w:rPr>
      </w:pPr>
      <w:r w:rsidRPr="00BB004B">
        <w:rPr>
          <w:rFonts w:ascii="Calibri" w:eastAsiaTheme="minorEastAsia" w:hAnsi="Calibri" w:cs="Calibri"/>
          <w:iCs w:val="0"/>
          <w:caps w:val="0"/>
          <w:color w:val="414042" w:themeColor="text1"/>
          <w:lang w:val="en-AU" w:bidi="ar-SA"/>
        </w:rPr>
        <w:t>Domestic View</w:t>
      </w:r>
    </w:p>
    <w:p w14:paraId="79E48C03" w14:textId="08948ED8" w:rsidR="00341332" w:rsidRPr="00BB004B" w:rsidRDefault="00D658F2" w:rsidP="007152C2">
      <w:pPr>
        <w:jc w:val="both"/>
        <w:rPr>
          <w:rFonts w:ascii="Calibri" w:hAnsi="Calibri" w:cs="Calibri"/>
          <w:b/>
          <w:bCs/>
        </w:rPr>
      </w:pPr>
      <w:r w:rsidRPr="00BB004B">
        <w:rPr>
          <w:rFonts w:ascii="Calibri" w:hAnsi="Calibri" w:cs="Calibri"/>
        </w:rPr>
        <w:t xml:space="preserve">The overall </w:t>
      </w:r>
      <w:r w:rsidR="002C2046" w:rsidRPr="00BB004B">
        <w:rPr>
          <w:rFonts w:ascii="Calibri" w:hAnsi="Calibri" w:cs="Calibri"/>
        </w:rPr>
        <w:t xml:space="preserve">investment </w:t>
      </w:r>
      <w:r w:rsidR="00242925" w:rsidRPr="00BB004B">
        <w:rPr>
          <w:rFonts w:ascii="Calibri" w:hAnsi="Calibri" w:cs="Calibri"/>
        </w:rPr>
        <w:t>view</w:t>
      </w:r>
      <w:r w:rsidRPr="00BB004B">
        <w:rPr>
          <w:rFonts w:ascii="Calibri" w:hAnsi="Calibri" w:cs="Calibri"/>
        </w:rPr>
        <w:t xml:space="preserve"> </w:t>
      </w:r>
      <w:r w:rsidR="005A4CB4" w:rsidRPr="00BB004B">
        <w:rPr>
          <w:rFonts w:ascii="Calibri" w:hAnsi="Calibri" w:cs="Calibri"/>
        </w:rPr>
        <w:t xml:space="preserve">for shares </w:t>
      </w:r>
      <w:r w:rsidR="000E3302" w:rsidRPr="00BB004B">
        <w:rPr>
          <w:rFonts w:ascii="Calibri" w:hAnsi="Calibri" w:cs="Calibri"/>
          <w:b/>
          <w:bCs/>
        </w:rPr>
        <w:t>is "</w:t>
      </w:r>
      <w:r w:rsidR="00861D66" w:rsidRPr="00BB004B">
        <w:rPr>
          <w:rFonts w:ascii="Calibri" w:hAnsi="Calibri" w:cs="Calibri"/>
          <w:b/>
          <w:bCs/>
        </w:rPr>
        <w:t>cautious</w:t>
      </w:r>
      <w:r w:rsidR="000E3302" w:rsidRPr="00BB004B">
        <w:rPr>
          <w:rFonts w:ascii="Calibri" w:hAnsi="Calibri" w:cs="Calibri"/>
          <w:b/>
          <w:bCs/>
        </w:rPr>
        <w:t xml:space="preserve">" over the short term, "cautiously optimistic" over the medium term, and "long run" </w:t>
      </w:r>
      <w:r w:rsidR="00341332" w:rsidRPr="00BB004B">
        <w:rPr>
          <w:rFonts w:ascii="Calibri" w:hAnsi="Calibri" w:cs="Calibri"/>
        </w:rPr>
        <w:t xml:space="preserve">as corporate profits continue to grow </w:t>
      </w:r>
      <w:r w:rsidR="000653A6" w:rsidRPr="00BB004B">
        <w:rPr>
          <w:rFonts w:ascii="Calibri" w:hAnsi="Calibri" w:cs="Calibri"/>
        </w:rPr>
        <w:t xml:space="preserve">faster than inflation and </w:t>
      </w:r>
      <w:r w:rsidR="003A2E3B" w:rsidRPr="00BB004B">
        <w:rPr>
          <w:rFonts w:ascii="Calibri" w:hAnsi="Calibri" w:cs="Calibri"/>
        </w:rPr>
        <w:t>as the need to build out data centres drives commodity prices higher</w:t>
      </w:r>
      <w:r w:rsidR="006E4355" w:rsidRPr="00BB004B">
        <w:rPr>
          <w:rFonts w:ascii="Calibri" w:hAnsi="Calibri" w:cs="Calibri"/>
        </w:rPr>
        <w:t>.</w:t>
      </w:r>
    </w:p>
    <w:p w14:paraId="09E86B6C" w14:textId="0395BCC3" w:rsidR="0018703E" w:rsidRPr="00BB004B" w:rsidRDefault="0018703E" w:rsidP="007152C2">
      <w:pPr>
        <w:jc w:val="both"/>
        <w:rPr>
          <w:rFonts w:ascii="Calibri" w:hAnsi="Calibri" w:cs="Calibri"/>
        </w:rPr>
      </w:pPr>
      <w:r w:rsidRPr="00BB004B">
        <w:rPr>
          <w:rFonts w:ascii="Calibri" w:hAnsi="Calibri" w:cs="Calibri"/>
        </w:rPr>
        <w:t xml:space="preserve">The market </w:t>
      </w:r>
      <w:r w:rsidR="00927F06" w:rsidRPr="00BB004B">
        <w:rPr>
          <w:rFonts w:ascii="Calibri" w:hAnsi="Calibri" w:cs="Calibri"/>
        </w:rPr>
        <w:t xml:space="preserve">is currently </w:t>
      </w:r>
      <w:r w:rsidR="006E4109" w:rsidRPr="00BB004B">
        <w:rPr>
          <w:rFonts w:ascii="Calibri" w:hAnsi="Calibri" w:cs="Calibri"/>
        </w:rPr>
        <w:t xml:space="preserve">pricing in </w:t>
      </w:r>
      <w:r w:rsidR="007E4E5D" w:rsidRPr="00BB004B">
        <w:rPr>
          <w:rFonts w:ascii="Calibri" w:hAnsi="Calibri" w:cs="Calibri"/>
        </w:rPr>
        <w:t xml:space="preserve">half </w:t>
      </w:r>
      <w:r w:rsidR="006E4109" w:rsidRPr="00BB004B">
        <w:rPr>
          <w:rFonts w:ascii="Calibri" w:hAnsi="Calibri" w:cs="Calibri"/>
        </w:rPr>
        <w:t>a</w:t>
      </w:r>
      <w:r w:rsidR="003A2E3B" w:rsidRPr="00BB004B">
        <w:rPr>
          <w:rFonts w:ascii="Calibri" w:hAnsi="Calibri" w:cs="Calibri"/>
        </w:rPr>
        <w:t>n</w:t>
      </w:r>
      <w:r w:rsidR="00927F06" w:rsidRPr="00BB004B">
        <w:rPr>
          <w:rFonts w:ascii="Calibri" w:hAnsi="Calibri" w:cs="Calibri"/>
        </w:rPr>
        <w:t xml:space="preserve"> interest rate hike on </w:t>
      </w:r>
      <w:r w:rsidR="007F5563" w:rsidRPr="00BB004B">
        <w:rPr>
          <w:rFonts w:ascii="Calibri" w:hAnsi="Calibri" w:cs="Calibri"/>
        </w:rPr>
        <w:t xml:space="preserve">the </w:t>
      </w:r>
      <w:r w:rsidR="00B34B3E" w:rsidRPr="00BB004B">
        <w:rPr>
          <w:rFonts w:ascii="Calibri" w:hAnsi="Calibri" w:cs="Calibri"/>
        </w:rPr>
        <w:t>2</w:t>
      </w:r>
      <w:r w:rsidR="00B34B3E" w:rsidRPr="00BB004B">
        <w:rPr>
          <w:rFonts w:ascii="Calibri" w:hAnsi="Calibri" w:cs="Calibri"/>
          <w:vertAlign w:val="superscript"/>
        </w:rPr>
        <w:t>nd</w:t>
      </w:r>
      <w:r w:rsidR="000E3302" w:rsidRPr="00BB004B">
        <w:rPr>
          <w:rFonts w:ascii="Calibri" w:hAnsi="Calibri" w:cs="Calibri"/>
        </w:rPr>
        <w:t>/</w:t>
      </w:r>
      <w:r w:rsidR="00B34B3E" w:rsidRPr="00BB004B">
        <w:rPr>
          <w:rFonts w:ascii="Calibri" w:hAnsi="Calibri" w:cs="Calibri"/>
        </w:rPr>
        <w:t>3</w:t>
      </w:r>
      <w:r w:rsidR="00B34B3E" w:rsidRPr="00BB004B">
        <w:rPr>
          <w:rFonts w:ascii="Calibri" w:hAnsi="Calibri" w:cs="Calibri"/>
          <w:vertAlign w:val="superscript"/>
        </w:rPr>
        <w:t>rd</w:t>
      </w:r>
      <w:r w:rsidR="000E3302" w:rsidRPr="00BB004B">
        <w:rPr>
          <w:rFonts w:ascii="Calibri" w:hAnsi="Calibri" w:cs="Calibri"/>
        </w:rPr>
        <w:t xml:space="preserve"> of </w:t>
      </w:r>
      <w:r w:rsidR="00B34B3E" w:rsidRPr="00BB004B">
        <w:rPr>
          <w:rFonts w:ascii="Calibri" w:hAnsi="Calibri" w:cs="Calibri"/>
        </w:rPr>
        <w:t>November</w:t>
      </w:r>
      <w:r w:rsidR="000E3302" w:rsidRPr="00BB004B">
        <w:rPr>
          <w:rFonts w:ascii="Calibri" w:hAnsi="Calibri" w:cs="Calibri"/>
        </w:rPr>
        <w:t xml:space="preserve"> 2026, </w:t>
      </w:r>
      <w:r w:rsidR="002605A4">
        <w:rPr>
          <w:rFonts w:ascii="Calibri" w:hAnsi="Calibri" w:cs="Calibri"/>
        </w:rPr>
        <w:t>after a "hotter" August inflation print showed inflation is still outside the RBA's 2-3% target band but has begun to stop trending back down towards it</w:t>
      </w:r>
      <w:r w:rsidR="003345F4" w:rsidRPr="00BB004B">
        <w:rPr>
          <w:rFonts w:ascii="Calibri" w:hAnsi="Calibri" w:cs="Calibri"/>
        </w:rPr>
        <w:t>.</w:t>
      </w:r>
    </w:p>
    <w:p w14:paraId="1B4AEE86" w14:textId="58CB9E27" w:rsidR="009E7EF6" w:rsidRPr="00BB004B" w:rsidRDefault="009E7EF6" w:rsidP="007152C2">
      <w:pPr>
        <w:pStyle w:val="Heading3"/>
        <w:spacing w:before="120" w:after="120"/>
        <w:jc w:val="both"/>
        <w:rPr>
          <w:rFonts w:ascii="Calibri" w:eastAsiaTheme="minorEastAsia" w:hAnsi="Calibri" w:cs="Calibri"/>
          <w:iCs w:val="0"/>
          <w:caps w:val="0"/>
          <w:color w:val="414042" w:themeColor="text1"/>
          <w:lang w:val="en-AU" w:bidi="ar-SA"/>
        </w:rPr>
      </w:pPr>
      <w:r w:rsidRPr="00BB004B">
        <w:rPr>
          <w:rFonts w:ascii="Calibri" w:eastAsiaTheme="minorEastAsia" w:hAnsi="Calibri" w:cs="Calibri"/>
          <w:iCs w:val="0"/>
          <w:caps w:val="0"/>
          <w:color w:val="414042" w:themeColor="text1"/>
          <w:lang w:val="en-AU" w:bidi="ar-SA"/>
        </w:rPr>
        <w:t>Global View</w:t>
      </w:r>
    </w:p>
    <w:p w14:paraId="7E9D3284" w14:textId="0C208568" w:rsidR="00374ED0" w:rsidRPr="00BB004B" w:rsidRDefault="00C32BB5" w:rsidP="007152C2">
      <w:pPr>
        <w:spacing w:before="120" w:after="120"/>
        <w:jc w:val="both"/>
        <w:rPr>
          <w:rFonts w:ascii="Calibri" w:hAnsi="Calibri" w:cs="Calibri"/>
        </w:rPr>
      </w:pPr>
      <w:r w:rsidRPr="00BB004B">
        <w:rPr>
          <w:rFonts w:ascii="Calibri" w:hAnsi="Calibri" w:cs="Calibri"/>
        </w:rPr>
        <w:t xml:space="preserve">The global share market remains </w:t>
      </w:r>
      <w:r w:rsidR="00374ED0" w:rsidRPr="00BB004B">
        <w:rPr>
          <w:rFonts w:ascii="Calibri" w:hAnsi="Calibri" w:cs="Calibri"/>
        </w:rPr>
        <w:t>cautious</w:t>
      </w:r>
      <w:r w:rsidR="003A2E3B" w:rsidRPr="00BB004B">
        <w:rPr>
          <w:rFonts w:ascii="Calibri" w:hAnsi="Calibri" w:cs="Calibri"/>
        </w:rPr>
        <w:t>,</w:t>
      </w:r>
      <w:r w:rsidR="003345F4" w:rsidRPr="00BB004B">
        <w:rPr>
          <w:rFonts w:ascii="Calibri" w:hAnsi="Calibri" w:cs="Calibri"/>
        </w:rPr>
        <w:t xml:space="preserve"> with concerns around AI profitability </w:t>
      </w:r>
      <w:r w:rsidR="00D90F79" w:rsidRPr="00BB004B">
        <w:rPr>
          <w:rFonts w:ascii="Calibri" w:hAnsi="Calibri" w:cs="Calibri"/>
        </w:rPr>
        <w:t>weighing on AI companies over the month</w:t>
      </w:r>
      <w:r w:rsidR="000E2540" w:rsidRPr="00BB004B">
        <w:rPr>
          <w:rFonts w:ascii="Calibri" w:hAnsi="Calibri" w:cs="Calibri"/>
        </w:rPr>
        <w:t>, alongside</w:t>
      </w:r>
      <w:r w:rsidR="003A2E3B" w:rsidRPr="00BB004B">
        <w:rPr>
          <w:rFonts w:ascii="Calibri" w:hAnsi="Calibri" w:cs="Calibri"/>
        </w:rPr>
        <w:t xml:space="preserve"> the looming threat of a global inflation spike that could force many economies to raise</w:t>
      </w:r>
      <w:r w:rsidR="00374ED0" w:rsidRPr="00BB004B">
        <w:rPr>
          <w:rFonts w:ascii="Calibri" w:hAnsi="Calibri" w:cs="Calibri"/>
        </w:rPr>
        <w:t xml:space="preserve"> interest rates. Given the current tensions in the </w:t>
      </w:r>
      <w:r w:rsidR="00904355" w:rsidRPr="00BB004B">
        <w:rPr>
          <w:rFonts w:ascii="Calibri" w:hAnsi="Calibri" w:cs="Calibri"/>
        </w:rPr>
        <w:t xml:space="preserve">Middle East, </w:t>
      </w:r>
      <w:r w:rsidR="003A2E3B" w:rsidRPr="00BB004B">
        <w:rPr>
          <w:rFonts w:ascii="Calibri" w:hAnsi="Calibri" w:cs="Calibri"/>
        </w:rPr>
        <w:t>we could see a global slowdown in GDP</w:t>
      </w:r>
      <w:r w:rsidR="00F23A1A" w:rsidRPr="00BB004B">
        <w:rPr>
          <w:rFonts w:ascii="Calibri" w:hAnsi="Calibri" w:cs="Calibri"/>
        </w:rPr>
        <w:t xml:space="preserve"> growth, as energy production cannot keep pace</w:t>
      </w:r>
      <w:r w:rsidR="00904355" w:rsidRPr="00BB004B">
        <w:rPr>
          <w:rFonts w:ascii="Calibri" w:hAnsi="Calibri" w:cs="Calibri"/>
        </w:rPr>
        <w:t xml:space="preserve"> with the rollout of AI data centres</w:t>
      </w:r>
      <w:r w:rsidR="00374ED0" w:rsidRPr="00BB004B">
        <w:rPr>
          <w:rFonts w:ascii="Calibri" w:hAnsi="Calibri" w:cs="Calibri"/>
        </w:rPr>
        <w:t>.</w:t>
      </w:r>
    </w:p>
    <w:p w14:paraId="746B3093" w14:textId="7EC625C9" w:rsidR="00476B80" w:rsidRPr="00BB004B" w:rsidRDefault="00FA2956" w:rsidP="007152C2">
      <w:pPr>
        <w:spacing w:before="120" w:after="120"/>
        <w:jc w:val="both"/>
        <w:rPr>
          <w:rFonts w:ascii="Calibri" w:hAnsi="Calibri" w:cs="Calibri"/>
          <w:b/>
          <w:bCs/>
        </w:rPr>
      </w:pPr>
      <w:proofErr w:type="gramStart"/>
      <w:r w:rsidRPr="00BB004B">
        <w:rPr>
          <w:rFonts w:ascii="Calibri" w:hAnsi="Calibri" w:cs="Calibri"/>
          <w:b/>
          <w:bCs/>
        </w:rPr>
        <w:t>Where</w:t>
      </w:r>
      <w:proofErr w:type="gramEnd"/>
      <w:r w:rsidRPr="00BB004B">
        <w:rPr>
          <w:rFonts w:ascii="Calibri" w:hAnsi="Calibri" w:cs="Calibri"/>
          <w:b/>
          <w:bCs/>
        </w:rPr>
        <w:t xml:space="preserve"> to From Here</w:t>
      </w:r>
    </w:p>
    <w:p w14:paraId="4F15116D" w14:textId="77777777" w:rsidR="00827803" w:rsidRPr="00BB004B" w:rsidRDefault="00827803" w:rsidP="00827803">
      <w:pPr>
        <w:pStyle w:val="ListParagraph"/>
        <w:numPr>
          <w:ilvl w:val="0"/>
          <w:numId w:val="17"/>
        </w:numPr>
        <w:spacing w:before="120" w:after="120"/>
        <w:jc w:val="both"/>
        <w:rPr>
          <w:rFonts w:eastAsiaTheme="minorEastAsia" w:cs="Calibri"/>
          <w:i w:val="0"/>
          <w:iCs w:val="0"/>
        </w:rPr>
      </w:pPr>
      <w:r w:rsidRPr="00BB004B">
        <w:rPr>
          <w:rFonts w:eastAsiaTheme="minorEastAsia" w:cs="Calibri"/>
          <w:i w:val="0"/>
          <w:iCs w:val="0"/>
        </w:rPr>
        <w:t>Continued shift from rules-based order and win-win multilateral trade to power-based order and win-lose trade deals. Trump did not start this. The shift started in the 2010s with the U.S./Europe letting Putin take Crimea in return for cheap gas for Germany/Europe, and the U.S./Japan letting China militarise the South China Sea. It has certainly accelerated under Trump. Lower cross-border trade &amp; investment, more reliance on government subsidies &amp; distortions, and inflationary onshoring of uneconomic industries.</w:t>
      </w:r>
    </w:p>
    <w:p w14:paraId="764A6CEB" w14:textId="72AA247B" w:rsidR="00827803" w:rsidRPr="00BB004B" w:rsidRDefault="00827803" w:rsidP="00827803">
      <w:pPr>
        <w:pStyle w:val="ListParagraph"/>
        <w:numPr>
          <w:ilvl w:val="0"/>
          <w:numId w:val="17"/>
        </w:numPr>
        <w:spacing w:before="120" w:after="120"/>
        <w:jc w:val="both"/>
        <w:rPr>
          <w:rFonts w:eastAsiaTheme="minorEastAsia" w:cs="Calibri"/>
          <w:i w:val="0"/>
          <w:iCs w:val="0"/>
        </w:rPr>
      </w:pPr>
      <w:r w:rsidRPr="00BB004B">
        <w:rPr>
          <w:rFonts w:eastAsiaTheme="minorEastAsia" w:cs="Calibri"/>
          <w:i w:val="0"/>
          <w:iCs w:val="0"/>
        </w:rPr>
        <w:lastRenderedPageBreak/>
        <w:t xml:space="preserve">Sticky inflation - political pressure on central banks to keep rates low – populist pressure on governments to keep deficit spending. Tariffs + onshoring are adding to costs/prices. Bond yields </w:t>
      </w:r>
      <w:r w:rsidR="00391DC1" w:rsidRPr="00BB004B">
        <w:rPr>
          <w:rFonts w:eastAsiaTheme="minorEastAsia" w:cs="Calibri"/>
          <w:i w:val="0"/>
          <w:iCs w:val="0"/>
        </w:rPr>
        <w:t>may stay elevated or even drift higher, with risk of yield spikes or a sudden need for rate hikes, unsettling/</w:t>
      </w:r>
      <w:r w:rsidRPr="00BB004B">
        <w:rPr>
          <w:rFonts w:eastAsiaTheme="minorEastAsia" w:cs="Calibri"/>
          <w:i w:val="0"/>
          <w:iCs w:val="0"/>
        </w:rPr>
        <w:t>breaking share markets.</w:t>
      </w:r>
    </w:p>
    <w:p w14:paraId="204169E9" w14:textId="1264A491" w:rsidR="00827803" w:rsidRPr="00BB004B" w:rsidRDefault="00827803" w:rsidP="00827803">
      <w:pPr>
        <w:pStyle w:val="ListParagraph"/>
        <w:numPr>
          <w:ilvl w:val="0"/>
          <w:numId w:val="17"/>
        </w:numPr>
        <w:spacing w:before="120" w:after="120"/>
        <w:jc w:val="both"/>
        <w:rPr>
          <w:rFonts w:eastAsiaTheme="minorEastAsia" w:cs="Calibri"/>
          <w:i w:val="0"/>
          <w:iCs w:val="0"/>
        </w:rPr>
      </w:pPr>
      <w:r w:rsidRPr="00BB004B">
        <w:rPr>
          <w:rFonts w:eastAsiaTheme="minorEastAsia" w:cs="Calibri"/>
          <w:i w:val="0"/>
          <w:iCs w:val="0"/>
        </w:rPr>
        <w:t xml:space="preserve">Share markets continue to be supported by good profit growth for now. Shares </w:t>
      </w:r>
      <w:r w:rsidR="002605A4">
        <w:rPr>
          <w:rFonts w:eastAsiaTheme="minorEastAsia" w:cs="Calibri"/>
          <w:i w:val="0"/>
          <w:iCs w:val="0"/>
        </w:rPr>
        <w:t>are expensive everywhere, buoyed by loose monetary &amp; fiscal policies and the</w:t>
      </w:r>
      <w:r w:rsidRPr="00BB004B">
        <w:rPr>
          <w:rFonts w:eastAsiaTheme="minorEastAsia" w:cs="Calibri"/>
          <w:i w:val="0"/>
          <w:iCs w:val="0"/>
        </w:rPr>
        <w:t xml:space="preserve"> </w:t>
      </w:r>
      <w:proofErr w:type="gramStart"/>
      <w:r w:rsidRPr="00BB004B">
        <w:rPr>
          <w:rFonts w:eastAsiaTheme="minorEastAsia" w:cs="Calibri"/>
          <w:i w:val="0"/>
          <w:iCs w:val="0"/>
        </w:rPr>
        <w:t>near-certainty</w:t>
      </w:r>
      <w:proofErr w:type="gramEnd"/>
      <w:r w:rsidRPr="00BB004B">
        <w:rPr>
          <w:rFonts w:eastAsiaTheme="minorEastAsia" w:cs="Calibri"/>
          <w:i w:val="0"/>
          <w:iCs w:val="0"/>
        </w:rPr>
        <w:t xml:space="preserve"> that governments will throw 'free'/borrowed money at any problem.</w:t>
      </w:r>
    </w:p>
    <w:p w14:paraId="0888D0E9" w14:textId="694F6DB5" w:rsidR="00827803" w:rsidRPr="00BB004B" w:rsidRDefault="00827803" w:rsidP="00827803">
      <w:pPr>
        <w:pStyle w:val="ListParagraph"/>
        <w:numPr>
          <w:ilvl w:val="0"/>
          <w:numId w:val="17"/>
        </w:numPr>
        <w:spacing w:before="120" w:after="120"/>
        <w:jc w:val="both"/>
        <w:rPr>
          <w:rFonts w:eastAsiaTheme="minorEastAsia" w:cs="Calibri"/>
          <w:i w:val="0"/>
          <w:iCs w:val="0"/>
        </w:rPr>
      </w:pPr>
      <w:r w:rsidRPr="00BB004B">
        <w:rPr>
          <w:rFonts w:eastAsiaTheme="minorEastAsia" w:cs="Calibri"/>
          <w:i w:val="0"/>
          <w:iCs w:val="0"/>
        </w:rPr>
        <w:t>Commodities rally gathering pace</w:t>
      </w:r>
      <w:r w:rsidR="00FA1716" w:rsidRPr="00BB004B">
        <w:rPr>
          <w:rFonts w:eastAsiaTheme="minorEastAsia" w:cs="Calibri"/>
          <w:i w:val="0"/>
          <w:iCs w:val="0"/>
        </w:rPr>
        <w:t xml:space="preserve">, </w:t>
      </w:r>
      <w:r w:rsidRPr="00BB004B">
        <w:rPr>
          <w:rFonts w:eastAsiaTheme="minorEastAsia" w:cs="Calibri"/>
          <w:i w:val="0"/>
          <w:iCs w:val="0"/>
        </w:rPr>
        <w:t>rising demand soaking up oversupply, AI/data centre boom (industrial metals, energy, water, land), global rearmament</w:t>
      </w:r>
      <w:r w:rsidR="002F31AC" w:rsidRPr="00BB004B">
        <w:rPr>
          <w:rFonts w:eastAsiaTheme="minorEastAsia" w:cs="Calibri"/>
          <w:i w:val="0"/>
          <w:iCs w:val="0"/>
        </w:rPr>
        <w:t>,</w:t>
      </w:r>
      <w:r w:rsidRPr="00BB004B">
        <w:rPr>
          <w:rFonts w:eastAsiaTheme="minorEastAsia" w:cs="Calibri"/>
          <w:i w:val="0"/>
          <w:iCs w:val="0"/>
        </w:rPr>
        <w:t xml:space="preserve"> especially Europe, Japan, Canada. This should support the ASX market, </w:t>
      </w:r>
      <w:proofErr w:type="gramStart"/>
      <w:r w:rsidRPr="00BB004B">
        <w:rPr>
          <w:rFonts w:eastAsiaTheme="minorEastAsia" w:cs="Calibri"/>
          <w:i w:val="0"/>
          <w:iCs w:val="0"/>
        </w:rPr>
        <w:t>as long as</w:t>
      </w:r>
      <w:proofErr w:type="gramEnd"/>
      <w:r w:rsidRPr="00BB004B">
        <w:rPr>
          <w:rFonts w:eastAsiaTheme="minorEastAsia" w:cs="Calibri"/>
          <w:i w:val="0"/>
          <w:iCs w:val="0"/>
        </w:rPr>
        <w:t xml:space="preserve"> banks avoid a local recession.</w:t>
      </w:r>
    </w:p>
    <w:p w14:paraId="7EAFE883" w14:textId="77777777" w:rsidR="00827803" w:rsidRPr="00C9457D" w:rsidRDefault="00827803" w:rsidP="00827803">
      <w:pPr>
        <w:jc w:val="both"/>
        <w:rPr>
          <w:sz w:val="16"/>
          <w:szCs w:val="16"/>
          <w:lang w:val="en-US"/>
        </w:rPr>
      </w:pPr>
    </w:p>
    <w:p w14:paraId="3D77DFE7" w14:textId="77777777" w:rsidR="00827803" w:rsidRPr="00C9457D" w:rsidRDefault="00827803" w:rsidP="00827803">
      <w:pPr>
        <w:jc w:val="both"/>
        <w:rPr>
          <w:sz w:val="16"/>
          <w:szCs w:val="16"/>
          <w:lang w:val="en-US"/>
        </w:rPr>
        <w:sectPr w:rsidR="00827803" w:rsidRPr="00C9457D" w:rsidSect="00827803">
          <w:headerReference w:type="default" r:id="rId16"/>
          <w:footerReference w:type="default" r:id="rId17"/>
          <w:type w:val="continuous"/>
          <w:pgSz w:w="11906" w:h="16838" w:code="9"/>
          <w:pgMar w:top="2948" w:right="1440" w:bottom="2041" w:left="1440" w:header="1021" w:footer="709" w:gutter="0"/>
          <w:cols w:space="708"/>
          <w:docGrid w:linePitch="360"/>
        </w:sectPr>
      </w:pPr>
    </w:p>
    <w:p w14:paraId="7495E311" w14:textId="6041AF5C" w:rsidR="00A05879" w:rsidRPr="00C9457D" w:rsidRDefault="00A05879" w:rsidP="00A05879">
      <w:pPr>
        <w:spacing w:after="0"/>
        <w:rPr>
          <w:b/>
          <w:bCs/>
          <w:sz w:val="16"/>
          <w:szCs w:val="16"/>
          <w:lang w:val="en-US"/>
        </w:rPr>
      </w:pPr>
      <w:r w:rsidRPr="00C9457D">
        <w:rPr>
          <w:b/>
          <w:bCs/>
          <w:sz w:val="16"/>
          <w:szCs w:val="16"/>
          <w:lang w:val="en-US"/>
        </w:rPr>
        <w:t>Footnote</w:t>
      </w:r>
    </w:p>
    <w:p w14:paraId="5338CDBD" w14:textId="5EBEF765" w:rsidR="00827803" w:rsidRPr="008B6EA9" w:rsidRDefault="00827803" w:rsidP="00A05879">
      <w:pPr>
        <w:spacing w:before="0"/>
        <w:rPr>
          <w:sz w:val="16"/>
          <w:szCs w:val="16"/>
          <w:lang w:val="en-US"/>
        </w:rPr>
        <w:sectPr w:rsidR="00827803" w:rsidRPr="008B6EA9" w:rsidSect="00827803">
          <w:headerReference w:type="default" r:id="rId18"/>
          <w:footerReference w:type="default" r:id="rId19"/>
          <w:type w:val="continuous"/>
          <w:pgSz w:w="11906" w:h="16838" w:code="9"/>
          <w:pgMar w:top="2948" w:right="1440" w:bottom="2041" w:left="1440" w:header="1021" w:footer="709" w:gutter="0"/>
          <w:cols w:space="708"/>
          <w:docGrid w:linePitch="360"/>
        </w:sectPr>
      </w:pPr>
      <w:r w:rsidRPr="00C9457D">
        <w:rPr>
          <w:sz w:val="16"/>
          <w:szCs w:val="16"/>
          <w:lang w:val="en-US"/>
        </w:rPr>
        <w:t>This</w:t>
      </w:r>
      <w:r w:rsidR="008B6EA9" w:rsidRPr="00C9457D">
        <w:rPr>
          <w:sz w:val="16"/>
          <w:szCs w:val="16"/>
          <w:lang w:val="en-US"/>
        </w:rPr>
        <w:t xml:space="preserve"> market update is written by Atlas Funds Management Pty Ltd for and on behalf of HNW Planning on </w:t>
      </w:r>
      <w:r w:rsidR="008B6EA9" w:rsidRPr="00C9457D">
        <w:rPr>
          <w:sz w:val="16"/>
          <w:szCs w:val="16"/>
          <w:lang w:val="en-US"/>
        </w:rPr>
        <w:fldChar w:fldCharType="begin"/>
      </w:r>
      <w:r w:rsidR="008B6EA9" w:rsidRPr="00C9457D">
        <w:rPr>
          <w:sz w:val="16"/>
          <w:szCs w:val="16"/>
          <w:lang w:val="en-US"/>
        </w:rPr>
        <w:instrText xml:space="preserve"> DATE  \@ "d MMMM yyyy" </w:instrText>
      </w:r>
      <w:r w:rsidR="008B6EA9" w:rsidRPr="00C9457D">
        <w:rPr>
          <w:sz w:val="16"/>
          <w:szCs w:val="16"/>
          <w:lang w:val="en-US"/>
        </w:rPr>
        <w:fldChar w:fldCharType="separate"/>
      </w:r>
      <w:r w:rsidR="00355076">
        <w:rPr>
          <w:noProof/>
          <w:sz w:val="16"/>
          <w:szCs w:val="16"/>
          <w:lang w:val="en-US"/>
        </w:rPr>
        <w:t>15 October 2026</w:t>
      </w:r>
      <w:r w:rsidR="008B6EA9" w:rsidRPr="00C9457D">
        <w:rPr>
          <w:sz w:val="16"/>
          <w:szCs w:val="16"/>
          <w:lang w:val="en-US"/>
        </w:rPr>
        <w:fldChar w:fldCharType="end"/>
      </w:r>
      <w:r w:rsidR="008B6EA9" w:rsidRPr="00C9457D">
        <w:rPr>
          <w:sz w:val="16"/>
          <w:szCs w:val="16"/>
          <w:lang w:val="en-US"/>
        </w:rPr>
        <w:t xml:space="preserve">. </w:t>
      </w:r>
      <w:r w:rsidRPr="00C9457D">
        <w:rPr>
          <w:sz w:val="16"/>
          <w:szCs w:val="16"/>
          <w:lang w:val="en-US"/>
        </w:rPr>
        <w:t xml:space="preserve">Atlas Funds Management </w:t>
      </w:r>
      <w:r w:rsidR="00211170" w:rsidRPr="00C9457D">
        <w:rPr>
          <w:sz w:val="16"/>
          <w:szCs w:val="16"/>
          <w:lang w:val="en-US"/>
        </w:rPr>
        <w:t xml:space="preserve">is an external asset consultant and consults </w:t>
      </w:r>
      <w:proofErr w:type="gramStart"/>
      <w:r w:rsidR="00211170" w:rsidRPr="00C9457D">
        <w:rPr>
          <w:sz w:val="16"/>
          <w:szCs w:val="16"/>
          <w:lang w:val="en-US"/>
        </w:rPr>
        <w:t>to</w:t>
      </w:r>
      <w:proofErr w:type="gramEnd"/>
      <w:r w:rsidR="00211170" w:rsidRPr="00C9457D">
        <w:rPr>
          <w:sz w:val="16"/>
          <w:szCs w:val="16"/>
          <w:lang w:val="en-US"/>
        </w:rPr>
        <w:t xml:space="preserve"> the HNW Investment Committee. Atlas Funds Management </w:t>
      </w:r>
      <w:r w:rsidRPr="00C9457D">
        <w:rPr>
          <w:sz w:val="16"/>
          <w:szCs w:val="16"/>
          <w:lang w:val="en-US"/>
        </w:rPr>
        <w:t xml:space="preserve">does not provide any general advice or personal advice regarding any potential investment in any financial products within the meaning of section 766B of the Corporations Act. No consideration has been made of any specific person's investment objectives, financial situation or needs. The provision of this presentation is not and should not be considered as a recommendation in relation to an investment in any entity or that an investment in any entity is a suitable investment for any specific person. Recipients should make their own enquiries and evaluations they consider appropriate to determine the suitability of any investment (including their investment objectives, financial situation, and particular needs) and should seek all necessary financial, legal, tax and investment advice. Atlas Funds Management Pty Ltd, </w:t>
      </w:r>
      <w:proofErr w:type="gramStart"/>
      <w:r w:rsidRPr="00C9457D">
        <w:rPr>
          <w:sz w:val="16"/>
          <w:szCs w:val="16"/>
          <w:lang w:val="en-US"/>
        </w:rPr>
        <w:t>it's</w:t>
      </w:r>
      <w:proofErr w:type="gramEnd"/>
      <w:r w:rsidRPr="00C9457D">
        <w:rPr>
          <w:sz w:val="16"/>
          <w:szCs w:val="16"/>
          <w:lang w:val="en-US"/>
        </w:rPr>
        <w:t xml:space="preserve"> directors and </w:t>
      </w:r>
      <w:proofErr w:type="gramStart"/>
      <w:r w:rsidRPr="00C9457D">
        <w:rPr>
          <w:sz w:val="16"/>
          <w:szCs w:val="16"/>
          <w:lang w:val="en-US"/>
        </w:rPr>
        <w:t>employees</w:t>
      </w:r>
      <w:proofErr w:type="gramEnd"/>
      <w:r w:rsidRPr="00C9457D">
        <w:rPr>
          <w:sz w:val="16"/>
          <w:szCs w:val="16"/>
          <w:lang w:val="en-US"/>
        </w:rPr>
        <w:t xml:space="preserve"> do not accept any liability for the results of any actions taken or not taken </w:t>
      </w:r>
      <w:proofErr w:type="gramStart"/>
      <w:r w:rsidRPr="00C9457D">
        <w:rPr>
          <w:sz w:val="16"/>
          <w:szCs w:val="16"/>
          <w:lang w:val="en-US"/>
        </w:rPr>
        <w:t>on the basis of</w:t>
      </w:r>
      <w:proofErr w:type="gramEnd"/>
      <w:r w:rsidRPr="00C9457D">
        <w:rPr>
          <w:sz w:val="16"/>
          <w:szCs w:val="16"/>
          <w:lang w:val="en-US"/>
        </w:rPr>
        <w:t xml:space="preserve"> information in this presentation, or for any negligent misstatements, errors or omissions. This presentation is not an advertisement and is not intended for public use or distribution. Past performance of a fund is no guarantee of its future performance.</w:t>
      </w:r>
      <w:r w:rsidRPr="00827803">
        <w:rPr>
          <w:sz w:val="16"/>
          <w:szCs w:val="16"/>
          <w:lang w:val="en-US"/>
        </w:rPr>
        <w:t xml:space="preserve"> </w:t>
      </w:r>
    </w:p>
    <w:p w14:paraId="39B7CFB1" w14:textId="77777777" w:rsidR="00827803" w:rsidRDefault="00827803" w:rsidP="007152C2">
      <w:pPr>
        <w:spacing w:before="120" w:after="120"/>
        <w:jc w:val="both"/>
        <w:rPr>
          <w:rFonts w:ascii="Calibri" w:hAnsi="Calibri" w:cs="Calibri"/>
          <w:b/>
          <w:bCs/>
        </w:rPr>
      </w:pPr>
    </w:p>
    <w:p w14:paraId="44D9F2D7" w14:textId="77777777" w:rsidR="008B6EA9" w:rsidRPr="00A75BED" w:rsidRDefault="008B6EA9" w:rsidP="007152C2">
      <w:pPr>
        <w:spacing w:before="120" w:after="120"/>
        <w:jc w:val="both"/>
        <w:rPr>
          <w:rFonts w:ascii="Calibri" w:hAnsi="Calibri" w:cs="Calibri"/>
          <w:b/>
          <w:bCs/>
        </w:rPr>
      </w:pPr>
    </w:p>
    <w:bookmarkEnd w:id="0"/>
    <w:p w14:paraId="015C567E" w14:textId="77777777" w:rsidR="00827803" w:rsidRPr="003352E4" w:rsidRDefault="00827803">
      <w:pPr>
        <w:jc w:val="both"/>
        <w:rPr>
          <w:sz w:val="16"/>
          <w:szCs w:val="16"/>
        </w:rPr>
      </w:pPr>
    </w:p>
    <w:sectPr w:rsidR="00827803" w:rsidRPr="003352E4" w:rsidSect="00CC39D1">
      <w:type w:val="continuous"/>
      <w:pgSz w:w="11906" w:h="16838" w:code="9"/>
      <w:pgMar w:top="2948" w:right="1440" w:bottom="2041" w:left="1440" w:header="1021"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902F6" w14:textId="77777777" w:rsidR="00C41672" w:rsidRDefault="00C41672" w:rsidP="00EB28A8">
      <w:pPr>
        <w:spacing w:after="0" w:line="240" w:lineRule="auto"/>
      </w:pPr>
      <w:r>
        <w:separator/>
      </w:r>
    </w:p>
  </w:endnote>
  <w:endnote w:type="continuationSeparator" w:id="0">
    <w:p w14:paraId="345B8C9F" w14:textId="77777777" w:rsidR="00C41672" w:rsidRDefault="00C41672" w:rsidP="00EB2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raj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7605"/>
      <w:docPartObj>
        <w:docPartGallery w:val="Page Numbers (Bottom of Page)"/>
        <w:docPartUnique/>
      </w:docPartObj>
    </w:sdtPr>
    <w:sdtEndPr>
      <w:rPr>
        <w:color w:val="7F7F7F" w:themeColor="background1" w:themeShade="7F"/>
        <w:spacing w:val="60"/>
      </w:rPr>
    </w:sdtEndPr>
    <w:sdtContent>
      <w:p w14:paraId="51C8A34D" w14:textId="77777777" w:rsidR="00827803" w:rsidRDefault="0082780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92D9FE9" w14:textId="77777777" w:rsidR="00827803" w:rsidRDefault="00827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412822"/>
      <w:docPartObj>
        <w:docPartGallery w:val="Page Numbers (Bottom of Page)"/>
        <w:docPartUnique/>
      </w:docPartObj>
    </w:sdtPr>
    <w:sdtEndPr>
      <w:rPr>
        <w:color w:val="7F7F7F" w:themeColor="background1" w:themeShade="7F"/>
        <w:spacing w:val="60"/>
      </w:rPr>
    </w:sdtEndPr>
    <w:sdtContent>
      <w:p w14:paraId="50F119D0" w14:textId="1E7453DC" w:rsidR="00113FD7" w:rsidRDefault="00113FD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F466587" w14:textId="77777777" w:rsidR="00113FD7" w:rsidRDefault="00113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0AB74" w14:textId="77777777" w:rsidR="00C41672" w:rsidRDefault="00C41672" w:rsidP="00EB28A8">
      <w:pPr>
        <w:spacing w:after="0" w:line="240" w:lineRule="auto"/>
      </w:pPr>
      <w:r>
        <w:separator/>
      </w:r>
    </w:p>
  </w:footnote>
  <w:footnote w:type="continuationSeparator" w:id="0">
    <w:p w14:paraId="5BC49A13" w14:textId="77777777" w:rsidR="00C41672" w:rsidRDefault="00C41672" w:rsidP="00EB2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4291" w14:textId="77777777" w:rsidR="00827803" w:rsidRDefault="00827803">
    <w:pPr>
      <w:pStyle w:val="Header"/>
    </w:pPr>
    <w:r>
      <w:rPr>
        <w:noProof/>
      </w:rPr>
      <w:drawing>
        <wp:inline distT="0" distB="0" distL="0" distR="0" wp14:anchorId="4D881DEC" wp14:editId="79F0D1A7">
          <wp:extent cx="1466512" cy="797903"/>
          <wp:effectExtent l="0" t="0" r="635" b="2540"/>
          <wp:docPr id="1155882799" name="Picture 3" descr="HNW Nexus – Empowering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W Nexus – Empowering 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45" cy="81190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686F" w14:textId="7C9EF7EE" w:rsidR="002F0DCB" w:rsidRDefault="00F6465E">
    <w:pPr>
      <w:pStyle w:val="Header"/>
    </w:pPr>
    <w:r>
      <w:rPr>
        <w:noProof/>
      </w:rPr>
      <w:drawing>
        <wp:inline distT="0" distB="0" distL="0" distR="0" wp14:anchorId="0C0EE491" wp14:editId="1DFE4FE1">
          <wp:extent cx="1466512" cy="797903"/>
          <wp:effectExtent l="0" t="0" r="635" b="2540"/>
          <wp:docPr id="1561300269" name="Picture 3" descr="HNW Nexus – Empowering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W Nexus – Empowering 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45" cy="8119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28E0880"/>
    <w:lvl w:ilvl="0">
      <w:start w:val="1"/>
      <w:numFmt w:val="lowerLetter"/>
      <w:pStyle w:val="ListNumber2"/>
      <w:lvlText w:val="%1)"/>
      <w:lvlJc w:val="left"/>
      <w:pPr>
        <w:ind w:left="643" w:hanging="360"/>
      </w:pPr>
    </w:lvl>
  </w:abstractNum>
  <w:abstractNum w:abstractNumId="1" w15:restartNumberingAfterBreak="0">
    <w:nsid w:val="FFFFFF83"/>
    <w:multiLevelType w:val="singleLevel"/>
    <w:tmpl w:val="E5C40D38"/>
    <w:lvl w:ilvl="0">
      <w:start w:val="1"/>
      <w:numFmt w:val="bullet"/>
      <w:pStyle w:val="ListBullet2"/>
      <w:lvlText w:val="–"/>
      <w:lvlJc w:val="left"/>
      <w:pPr>
        <w:ind w:left="643" w:hanging="360"/>
      </w:pPr>
      <w:rPr>
        <w:rFonts w:ascii="Calibri" w:hAnsi="Calibri" w:hint="default"/>
      </w:rPr>
    </w:lvl>
  </w:abstractNum>
  <w:abstractNum w:abstractNumId="2" w15:restartNumberingAfterBreak="0">
    <w:nsid w:val="FFFFFF88"/>
    <w:multiLevelType w:val="singleLevel"/>
    <w:tmpl w:val="E46CB6F2"/>
    <w:lvl w:ilvl="0">
      <w:start w:val="1"/>
      <w:numFmt w:val="decimal"/>
      <w:pStyle w:val="ListNumber"/>
      <w:lvlText w:val="%1."/>
      <w:lvlJc w:val="left"/>
      <w:pPr>
        <w:ind w:left="360" w:hanging="360"/>
      </w:pPr>
      <w:rPr>
        <w:rFonts w:hint="default"/>
        <w:b/>
        <w:i w:val="0"/>
      </w:rPr>
    </w:lvl>
  </w:abstractNum>
  <w:abstractNum w:abstractNumId="3" w15:restartNumberingAfterBreak="0">
    <w:nsid w:val="FFFFFF89"/>
    <w:multiLevelType w:val="singleLevel"/>
    <w:tmpl w:val="CAFCA22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7EC2848"/>
    <w:multiLevelType w:val="multilevel"/>
    <w:tmpl w:val="0476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F083B"/>
    <w:multiLevelType w:val="hybridMultilevel"/>
    <w:tmpl w:val="FFDAE3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9F2A3D"/>
    <w:multiLevelType w:val="hybridMultilevel"/>
    <w:tmpl w:val="8F68F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78F4F47"/>
    <w:multiLevelType w:val="hybridMultilevel"/>
    <w:tmpl w:val="350E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006297"/>
    <w:multiLevelType w:val="hybridMultilevel"/>
    <w:tmpl w:val="F8A0A784"/>
    <w:lvl w:ilvl="0" w:tplc="1820F324">
      <w:numFmt w:val="bullet"/>
      <w:lvlText w:val="•"/>
      <w:lvlJc w:val="left"/>
      <w:pPr>
        <w:ind w:left="360" w:hanging="360"/>
      </w:pPr>
      <w:rPr>
        <w:rFonts w:ascii="Calibri" w:eastAsiaTheme="minorEastAsia" w:hAnsi="Calibri" w:cs="Calibri" w:hint="default"/>
        <w:i w:val="0"/>
        <w:color w:val="414042" w:themeColor="text1"/>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517A17"/>
    <w:multiLevelType w:val="hybridMultilevel"/>
    <w:tmpl w:val="4E603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6608F"/>
    <w:multiLevelType w:val="hybridMultilevel"/>
    <w:tmpl w:val="125A7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310B66"/>
    <w:multiLevelType w:val="multilevel"/>
    <w:tmpl w:val="FA40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139DE"/>
    <w:multiLevelType w:val="hybridMultilevel"/>
    <w:tmpl w:val="841EF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7122E26"/>
    <w:multiLevelType w:val="multilevel"/>
    <w:tmpl w:val="AE48833A"/>
    <w:lvl w:ilvl="0">
      <w:start w:val="1"/>
      <w:numFmt w:val="decimal"/>
      <w:lvlText w:val="%1"/>
      <w:lvlJc w:val="left"/>
      <w:pPr>
        <w:ind w:left="432" w:hanging="432"/>
      </w:pPr>
      <w:rPr>
        <w:color w:val="auto"/>
        <w:sz w:val="24"/>
      </w:rPr>
    </w:lvl>
    <w:lvl w:ilvl="1">
      <w:start w:val="1"/>
      <w:numFmt w:val="decimal"/>
      <w:pStyle w:val="Heading5"/>
      <w:lvlText w:val="%1.%2"/>
      <w:lvlJc w:val="left"/>
      <w:pPr>
        <w:ind w:left="576" w:hanging="576"/>
      </w:pPr>
    </w:lvl>
    <w:lvl w:ilvl="2">
      <w:start w:val="1"/>
      <w:numFmt w:val="decimal"/>
      <w:pStyle w:val="Heading6"/>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7500434"/>
    <w:multiLevelType w:val="hybridMultilevel"/>
    <w:tmpl w:val="F814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E26C13"/>
    <w:multiLevelType w:val="hybridMultilevel"/>
    <w:tmpl w:val="B13A6E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56B51B52"/>
    <w:multiLevelType w:val="multilevel"/>
    <w:tmpl w:val="C2AA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B040E6"/>
    <w:multiLevelType w:val="hybridMultilevel"/>
    <w:tmpl w:val="59CC49E4"/>
    <w:lvl w:ilvl="0" w:tplc="1820F324">
      <w:numFmt w:val="bullet"/>
      <w:lvlText w:val="•"/>
      <w:lvlJc w:val="left"/>
      <w:pPr>
        <w:ind w:left="720" w:hanging="360"/>
      </w:pPr>
      <w:rPr>
        <w:rFonts w:ascii="Calibri" w:eastAsiaTheme="minorEastAsia" w:hAnsi="Calibri" w:cs="Calibri" w:hint="default"/>
        <w:i w:val="0"/>
        <w:color w:val="414042" w:themeColor="text1"/>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8160214">
    <w:abstractNumId w:val="13"/>
  </w:num>
  <w:num w:numId="2" w16cid:durableId="1643658398">
    <w:abstractNumId w:val="3"/>
  </w:num>
  <w:num w:numId="3" w16cid:durableId="84688565">
    <w:abstractNumId w:val="1"/>
  </w:num>
  <w:num w:numId="4" w16cid:durableId="708146902">
    <w:abstractNumId w:val="2"/>
  </w:num>
  <w:num w:numId="5" w16cid:durableId="1993243837">
    <w:abstractNumId w:val="0"/>
  </w:num>
  <w:num w:numId="6" w16cid:durableId="430129513">
    <w:abstractNumId w:val="6"/>
  </w:num>
  <w:num w:numId="7" w16cid:durableId="638262864">
    <w:abstractNumId w:val="14"/>
  </w:num>
  <w:num w:numId="8" w16cid:durableId="1542089249">
    <w:abstractNumId w:val="15"/>
  </w:num>
  <w:num w:numId="9" w16cid:durableId="562182118">
    <w:abstractNumId w:val="10"/>
  </w:num>
  <w:num w:numId="10" w16cid:durableId="1842425709">
    <w:abstractNumId w:val="7"/>
  </w:num>
  <w:num w:numId="11" w16cid:durableId="1240560744">
    <w:abstractNumId w:val="5"/>
  </w:num>
  <w:num w:numId="12" w16cid:durableId="1191722889">
    <w:abstractNumId w:val="9"/>
  </w:num>
  <w:num w:numId="13" w16cid:durableId="1710059680">
    <w:abstractNumId w:val="17"/>
  </w:num>
  <w:num w:numId="14" w16cid:durableId="546839574">
    <w:abstractNumId w:val="8"/>
  </w:num>
  <w:num w:numId="15" w16cid:durableId="1492258336">
    <w:abstractNumId w:val="11"/>
  </w:num>
  <w:num w:numId="16" w16cid:durableId="1391618078">
    <w:abstractNumId w:val="16"/>
  </w:num>
  <w:num w:numId="17" w16cid:durableId="495656986">
    <w:abstractNumId w:val="12"/>
  </w:num>
  <w:num w:numId="18" w16cid:durableId="18120922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HNWTable0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UzMzcxMTQ2tbA0NTRR0lEKTi0uzszPAymwrAUA2dzA0ywAAAA="/>
  </w:docVars>
  <w:rsids>
    <w:rsidRoot w:val="00481A71"/>
    <w:rsid w:val="00000268"/>
    <w:rsid w:val="000006BC"/>
    <w:rsid w:val="00001072"/>
    <w:rsid w:val="00001213"/>
    <w:rsid w:val="000017A1"/>
    <w:rsid w:val="00001F8C"/>
    <w:rsid w:val="00003266"/>
    <w:rsid w:val="000035CC"/>
    <w:rsid w:val="00004613"/>
    <w:rsid w:val="00004F45"/>
    <w:rsid w:val="00005474"/>
    <w:rsid w:val="00006CCB"/>
    <w:rsid w:val="0000721F"/>
    <w:rsid w:val="000072B0"/>
    <w:rsid w:val="000073D1"/>
    <w:rsid w:val="00010B1D"/>
    <w:rsid w:val="00011244"/>
    <w:rsid w:val="00011328"/>
    <w:rsid w:val="00011A16"/>
    <w:rsid w:val="00012004"/>
    <w:rsid w:val="00012007"/>
    <w:rsid w:val="00012BF9"/>
    <w:rsid w:val="000131F9"/>
    <w:rsid w:val="0001508D"/>
    <w:rsid w:val="0001535B"/>
    <w:rsid w:val="00015597"/>
    <w:rsid w:val="00016329"/>
    <w:rsid w:val="000163D4"/>
    <w:rsid w:val="00016E85"/>
    <w:rsid w:val="0001721E"/>
    <w:rsid w:val="00017238"/>
    <w:rsid w:val="000176D2"/>
    <w:rsid w:val="00017812"/>
    <w:rsid w:val="00017B34"/>
    <w:rsid w:val="00017E15"/>
    <w:rsid w:val="00017E69"/>
    <w:rsid w:val="0002084E"/>
    <w:rsid w:val="000218F1"/>
    <w:rsid w:val="0002201B"/>
    <w:rsid w:val="0002241D"/>
    <w:rsid w:val="00022971"/>
    <w:rsid w:val="0002386E"/>
    <w:rsid w:val="00023EB5"/>
    <w:rsid w:val="00024249"/>
    <w:rsid w:val="0002488F"/>
    <w:rsid w:val="00025089"/>
    <w:rsid w:val="000256B8"/>
    <w:rsid w:val="00026C58"/>
    <w:rsid w:val="0002765E"/>
    <w:rsid w:val="0002791C"/>
    <w:rsid w:val="000300E5"/>
    <w:rsid w:val="00030405"/>
    <w:rsid w:val="00030F8D"/>
    <w:rsid w:val="000310AB"/>
    <w:rsid w:val="0003150F"/>
    <w:rsid w:val="00031BF2"/>
    <w:rsid w:val="00033EA8"/>
    <w:rsid w:val="00034014"/>
    <w:rsid w:val="000341D2"/>
    <w:rsid w:val="000357BE"/>
    <w:rsid w:val="00036039"/>
    <w:rsid w:val="0003648E"/>
    <w:rsid w:val="00036D85"/>
    <w:rsid w:val="00036FDA"/>
    <w:rsid w:val="00037046"/>
    <w:rsid w:val="000375F8"/>
    <w:rsid w:val="000378D5"/>
    <w:rsid w:val="00037BFE"/>
    <w:rsid w:val="000400CD"/>
    <w:rsid w:val="00040BEC"/>
    <w:rsid w:val="00040E36"/>
    <w:rsid w:val="0004117C"/>
    <w:rsid w:val="00041762"/>
    <w:rsid w:val="00042755"/>
    <w:rsid w:val="0004442A"/>
    <w:rsid w:val="00044C7F"/>
    <w:rsid w:val="00045650"/>
    <w:rsid w:val="000458E9"/>
    <w:rsid w:val="00045C20"/>
    <w:rsid w:val="00046301"/>
    <w:rsid w:val="00046589"/>
    <w:rsid w:val="00046840"/>
    <w:rsid w:val="00046899"/>
    <w:rsid w:val="00046901"/>
    <w:rsid w:val="00047941"/>
    <w:rsid w:val="00050628"/>
    <w:rsid w:val="0005073D"/>
    <w:rsid w:val="00050A18"/>
    <w:rsid w:val="00051004"/>
    <w:rsid w:val="00051397"/>
    <w:rsid w:val="00051451"/>
    <w:rsid w:val="000530FF"/>
    <w:rsid w:val="000533DB"/>
    <w:rsid w:val="00053887"/>
    <w:rsid w:val="00054BDB"/>
    <w:rsid w:val="000558CB"/>
    <w:rsid w:val="00055D2C"/>
    <w:rsid w:val="00055F78"/>
    <w:rsid w:val="000566FA"/>
    <w:rsid w:val="0005674F"/>
    <w:rsid w:val="00056D53"/>
    <w:rsid w:val="0005797F"/>
    <w:rsid w:val="000606FB"/>
    <w:rsid w:val="00060AB6"/>
    <w:rsid w:val="00060CE2"/>
    <w:rsid w:val="00061657"/>
    <w:rsid w:val="00062337"/>
    <w:rsid w:val="00062BED"/>
    <w:rsid w:val="00063F3C"/>
    <w:rsid w:val="000653A6"/>
    <w:rsid w:val="000654D6"/>
    <w:rsid w:val="000656B2"/>
    <w:rsid w:val="00066C19"/>
    <w:rsid w:val="00066E8A"/>
    <w:rsid w:val="00067753"/>
    <w:rsid w:val="000678BF"/>
    <w:rsid w:val="000678F3"/>
    <w:rsid w:val="00070E5E"/>
    <w:rsid w:val="00071486"/>
    <w:rsid w:val="000724C9"/>
    <w:rsid w:val="00072B77"/>
    <w:rsid w:val="000732D1"/>
    <w:rsid w:val="000732F1"/>
    <w:rsid w:val="00074692"/>
    <w:rsid w:val="000749F7"/>
    <w:rsid w:val="00074A1A"/>
    <w:rsid w:val="000751E0"/>
    <w:rsid w:val="00075A04"/>
    <w:rsid w:val="00076007"/>
    <w:rsid w:val="000760AB"/>
    <w:rsid w:val="000762D7"/>
    <w:rsid w:val="000764FC"/>
    <w:rsid w:val="00076FD3"/>
    <w:rsid w:val="00077180"/>
    <w:rsid w:val="000774B5"/>
    <w:rsid w:val="000776CD"/>
    <w:rsid w:val="00077B36"/>
    <w:rsid w:val="00077BE9"/>
    <w:rsid w:val="00080677"/>
    <w:rsid w:val="00080EAF"/>
    <w:rsid w:val="00082606"/>
    <w:rsid w:val="000829B5"/>
    <w:rsid w:val="00082AC2"/>
    <w:rsid w:val="00083188"/>
    <w:rsid w:val="000832DC"/>
    <w:rsid w:val="00083932"/>
    <w:rsid w:val="000839D7"/>
    <w:rsid w:val="00083A84"/>
    <w:rsid w:val="00084298"/>
    <w:rsid w:val="00084388"/>
    <w:rsid w:val="000848E7"/>
    <w:rsid w:val="00084D8F"/>
    <w:rsid w:val="00084E22"/>
    <w:rsid w:val="0008591E"/>
    <w:rsid w:val="0008698B"/>
    <w:rsid w:val="0008740E"/>
    <w:rsid w:val="00090149"/>
    <w:rsid w:val="00090298"/>
    <w:rsid w:val="0009096E"/>
    <w:rsid w:val="00090E25"/>
    <w:rsid w:val="00091262"/>
    <w:rsid w:val="00092611"/>
    <w:rsid w:val="00092751"/>
    <w:rsid w:val="00094875"/>
    <w:rsid w:val="00095523"/>
    <w:rsid w:val="00095963"/>
    <w:rsid w:val="00095BDA"/>
    <w:rsid w:val="00095CB8"/>
    <w:rsid w:val="0009606F"/>
    <w:rsid w:val="00096323"/>
    <w:rsid w:val="00096979"/>
    <w:rsid w:val="00096EF1"/>
    <w:rsid w:val="00097243"/>
    <w:rsid w:val="000A032D"/>
    <w:rsid w:val="000A08BF"/>
    <w:rsid w:val="000A1A15"/>
    <w:rsid w:val="000A1C7B"/>
    <w:rsid w:val="000A1FDF"/>
    <w:rsid w:val="000A26DE"/>
    <w:rsid w:val="000A3377"/>
    <w:rsid w:val="000A36E7"/>
    <w:rsid w:val="000A3B2A"/>
    <w:rsid w:val="000A5F08"/>
    <w:rsid w:val="000A6FC0"/>
    <w:rsid w:val="000A7096"/>
    <w:rsid w:val="000A7345"/>
    <w:rsid w:val="000A7689"/>
    <w:rsid w:val="000A7727"/>
    <w:rsid w:val="000A7AA8"/>
    <w:rsid w:val="000A7ACA"/>
    <w:rsid w:val="000B009E"/>
    <w:rsid w:val="000B03C8"/>
    <w:rsid w:val="000B053B"/>
    <w:rsid w:val="000B0749"/>
    <w:rsid w:val="000B0DED"/>
    <w:rsid w:val="000B12C5"/>
    <w:rsid w:val="000B1350"/>
    <w:rsid w:val="000B196F"/>
    <w:rsid w:val="000B1CC6"/>
    <w:rsid w:val="000B2129"/>
    <w:rsid w:val="000B269D"/>
    <w:rsid w:val="000B2E0E"/>
    <w:rsid w:val="000B3E00"/>
    <w:rsid w:val="000B4170"/>
    <w:rsid w:val="000B4202"/>
    <w:rsid w:val="000B4548"/>
    <w:rsid w:val="000B4975"/>
    <w:rsid w:val="000B5326"/>
    <w:rsid w:val="000B61C1"/>
    <w:rsid w:val="000B6FDD"/>
    <w:rsid w:val="000B7DF9"/>
    <w:rsid w:val="000B7FFA"/>
    <w:rsid w:val="000C04DA"/>
    <w:rsid w:val="000C0E73"/>
    <w:rsid w:val="000C0FBA"/>
    <w:rsid w:val="000C13E2"/>
    <w:rsid w:val="000C26B7"/>
    <w:rsid w:val="000C3188"/>
    <w:rsid w:val="000C3A04"/>
    <w:rsid w:val="000C3E55"/>
    <w:rsid w:val="000C47EA"/>
    <w:rsid w:val="000C548B"/>
    <w:rsid w:val="000C58C1"/>
    <w:rsid w:val="000C5E95"/>
    <w:rsid w:val="000C623B"/>
    <w:rsid w:val="000C6F24"/>
    <w:rsid w:val="000C70D2"/>
    <w:rsid w:val="000C7672"/>
    <w:rsid w:val="000C7D22"/>
    <w:rsid w:val="000D016A"/>
    <w:rsid w:val="000D0B44"/>
    <w:rsid w:val="000D24CD"/>
    <w:rsid w:val="000D273A"/>
    <w:rsid w:val="000D2914"/>
    <w:rsid w:val="000D2BE8"/>
    <w:rsid w:val="000D2EF0"/>
    <w:rsid w:val="000D3366"/>
    <w:rsid w:val="000D4328"/>
    <w:rsid w:val="000D44BE"/>
    <w:rsid w:val="000D4A42"/>
    <w:rsid w:val="000D4ED4"/>
    <w:rsid w:val="000D513F"/>
    <w:rsid w:val="000D5813"/>
    <w:rsid w:val="000D5AC5"/>
    <w:rsid w:val="000D5E2E"/>
    <w:rsid w:val="000D6EE9"/>
    <w:rsid w:val="000E06E1"/>
    <w:rsid w:val="000E2092"/>
    <w:rsid w:val="000E2540"/>
    <w:rsid w:val="000E29B2"/>
    <w:rsid w:val="000E2E4B"/>
    <w:rsid w:val="000E3302"/>
    <w:rsid w:val="000E3566"/>
    <w:rsid w:val="000E3D09"/>
    <w:rsid w:val="000E45E4"/>
    <w:rsid w:val="000E4E30"/>
    <w:rsid w:val="000E52C4"/>
    <w:rsid w:val="000E5B37"/>
    <w:rsid w:val="000E6C72"/>
    <w:rsid w:val="000E7704"/>
    <w:rsid w:val="000F133D"/>
    <w:rsid w:val="000F150B"/>
    <w:rsid w:val="000F2053"/>
    <w:rsid w:val="000F2A21"/>
    <w:rsid w:val="000F2A98"/>
    <w:rsid w:val="000F4907"/>
    <w:rsid w:val="000F52AB"/>
    <w:rsid w:val="000F5F52"/>
    <w:rsid w:val="000F60F5"/>
    <w:rsid w:val="000F626C"/>
    <w:rsid w:val="000F6842"/>
    <w:rsid w:val="000F725D"/>
    <w:rsid w:val="000F734B"/>
    <w:rsid w:val="000F7387"/>
    <w:rsid w:val="000F75CE"/>
    <w:rsid w:val="000F7783"/>
    <w:rsid w:val="000F7BDA"/>
    <w:rsid w:val="0010043C"/>
    <w:rsid w:val="00101936"/>
    <w:rsid w:val="00102BB3"/>
    <w:rsid w:val="00102BB6"/>
    <w:rsid w:val="00102E4C"/>
    <w:rsid w:val="001034CB"/>
    <w:rsid w:val="0010573F"/>
    <w:rsid w:val="00105BCC"/>
    <w:rsid w:val="00105FA6"/>
    <w:rsid w:val="001066CC"/>
    <w:rsid w:val="00107049"/>
    <w:rsid w:val="0010706A"/>
    <w:rsid w:val="00107166"/>
    <w:rsid w:val="001073CA"/>
    <w:rsid w:val="00107972"/>
    <w:rsid w:val="00107D5C"/>
    <w:rsid w:val="0011089D"/>
    <w:rsid w:val="00110DCC"/>
    <w:rsid w:val="00110DCD"/>
    <w:rsid w:val="001112B5"/>
    <w:rsid w:val="00111526"/>
    <w:rsid w:val="00111862"/>
    <w:rsid w:val="00111AF6"/>
    <w:rsid w:val="00111F8D"/>
    <w:rsid w:val="001129D6"/>
    <w:rsid w:val="00112AC6"/>
    <w:rsid w:val="00113422"/>
    <w:rsid w:val="00113FD7"/>
    <w:rsid w:val="00114105"/>
    <w:rsid w:val="0011425F"/>
    <w:rsid w:val="001147D8"/>
    <w:rsid w:val="00114A2E"/>
    <w:rsid w:val="00114FC3"/>
    <w:rsid w:val="00115049"/>
    <w:rsid w:val="00115DDA"/>
    <w:rsid w:val="00115EEE"/>
    <w:rsid w:val="00115FEC"/>
    <w:rsid w:val="001163C3"/>
    <w:rsid w:val="0011715A"/>
    <w:rsid w:val="00117C94"/>
    <w:rsid w:val="00120449"/>
    <w:rsid w:val="001207D3"/>
    <w:rsid w:val="001218BF"/>
    <w:rsid w:val="00122C58"/>
    <w:rsid w:val="00122E58"/>
    <w:rsid w:val="0012379B"/>
    <w:rsid w:val="001238CB"/>
    <w:rsid w:val="001239FB"/>
    <w:rsid w:val="00123BD7"/>
    <w:rsid w:val="00123F12"/>
    <w:rsid w:val="001243C9"/>
    <w:rsid w:val="001244F4"/>
    <w:rsid w:val="00124E8E"/>
    <w:rsid w:val="001257FA"/>
    <w:rsid w:val="00126872"/>
    <w:rsid w:val="00126DB8"/>
    <w:rsid w:val="00126E28"/>
    <w:rsid w:val="001308C8"/>
    <w:rsid w:val="00131740"/>
    <w:rsid w:val="00131B8A"/>
    <w:rsid w:val="00131EB9"/>
    <w:rsid w:val="001328DD"/>
    <w:rsid w:val="00132D61"/>
    <w:rsid w:val="00132F19"/>
    <w:rsid w:val="0013543E"/>
    <w:rsid w:val="001357C3"/>
    <w:rsid w:val="00136204"/>
    <w:rsid w:val="00136F68"/>
    <w:rsid w:val="00137324"/>
    <w:rsid w:val="0014024A"/>
    <w:rsid w:val="0014031F"/>
    <w:rsid w:val="001405F3"/>
    <w:rsid w:val="00140858"/>
    <w:rsid w:val="001415A2"/>
    <w:rsid w:val="00141B5E"/>
    <w:rsid w:val="00141EE3"/>
    <w:rsid w:val="0014205E"/>
    <w:rsid w:val="00142BD6"/>
    <w:rsid w:val="00142DC0"/>
    <w:rsid w:val="00143062"/>
    <w:rsid w:val="001439EE"/>
    <w:rsid w:val="00143C05"/>
    <w:rsid w:val="001440B7"/>
    <w:rsid w:val="0014431E"/>
    <w:rsid w:val="00144655"/>
    <w:rsid w:val="001451A8"/>
    <w:rsid w:val="00145508"/>
    <w:rsid w:val="00147535"/>
    <w:rsid w:val="00147A28"/>
    <w:rsid w:val="00150984"/>
    <w:rsid w:val="00151102"/>
    <w:rsid w:val="0015130E"/>
    <w:rsid w:val="00153932"/>
    <w:rsid w:val="001542BF"/>
    <w:rsid w:val="001545AE"/>
    <w:rsid w:val="00154F9E"/>
    <w:rsid w:val="00155237"/>
    <w:rsid w:val="001558AE"/>
    <w:rsid w:val="00157329"/>
    <w:rsid w:val="00157AF8"/>
    <w:rsid w:val="001616BB"/>
    <w:rsid w:val="0016191A"/>
    <w:rsid w:val="00162A46"/>
    <w:rsid w:val="001632D6"/>
    <w:rsid w:val="00163B7D"/>
    <w:rsid w:val="001642D0"/>
    <w:rsid w:val="001643E3"/>
    <w:rsid w:val="00164672"/>
    <w:rsid w:val="001648D2"/>
    <w:rsid w:val="001652D3"/>
    <w:rsid w:val="0016721D"/>
    <w:rsid w:val="00170018"/>
    <w:rsid w:val="001708EB"/>
    <w:rsid w:val="00170FC0"/>
    <w:rsid w:val="00171550"/>
    <w:rsid w:val="00171660"/>
    <w:rsid w:val="00172116"/>
    <w:rsid w:val="00172387"/>
    <w:rsid w:val="001727F2"/>
    <w:rsid w:val="00173ECE"/>
    <w:rsid w:val="00173FB8"/>
    <w:rsid w:val="001740F6"/>
    <w:rsid w:val="00175A6F"/>
    <w:rsid w:val="001761C6"/>
    <w:rsid w:val="00176974"/>
    <w:rsid w:val="001771CA"/>
    <w:rsid w:val="001777BF"/>
    <w:rsid w:val="00180236"/>
    <w:rsid w:val="001805DE"/>
    <w:rsid w:val="00181027"/>
    <w:rsid w:val="00182362"/>
    <w:rsid w:val="00182717"/>
    <w:rsid w:val="001827DF"/>
    <w:rsid w:val="00183082"/>
    <w:rsid w:val="00183405"/>
    <w:rsid w:val="0018396D"/>
    <w:rsid w:val="00183EDD"/>
    <w:rsid w:val="001846E3"/>
    <w:rsid w:val="00184AC2"/>
    <w:rsid w:val="00185A79"/>
    <w:rsid w:val="0018703E"/>
    <w:rsid w:val="00187537"/>
    <w:rsid w:val="00187989"/>
    <w:rsid w:val="001879ED"/>
    <w:rsid w:val="00187B79"/>
    <w:rsid w:val="001907EB"/>
    <w:rsid w:val="00190B5B"/>
    <w:rsid w:val="00190C22"/>
    <w:rsid w:val="001918FE"/>
    <w:rsid w:val="00192082"/>
    <w:rsid w:val="001921CE"/>
    <w:rsid w:val="001928CD"/>
    <w:rsid w:val="001931DC"/>
    <w:rsid w:val="00193344"/>
    <w:rsid w:val="001934F4"/>
    <w:rsid w:val="00193B6F"/>
    <w:rsid w:val="00195D59"/>
    <w:rsid w:val="00196E07"/>
    <w:rsid w:val="001979FC"/>
    <w:rsid w:val="00197B9B"/>
    <w:rsid w:val="00197D97"/>
    <w:rsid w:val="001A141A"/>
    <w:rsid w:val="001A1F51"/>
    <w:rsid w:val="001A23BB"/>
    <w:rsid w:val="001A2453"/>
    <w:rsid w:val="001A2DA1"/>
    <w:rsid w:val="001A30BA"/>
    <w:rsid w:val="001A326D"/>
    <w:rsid w:val="001A3D53"/>
    <w:rsid w:val="001A4083"/>
    <w:rsid w:val="001A4342"/>
    <w:rsid w:val="001A461F"/>
    <w:rsid w:val="001A4D78"/>
    <w:rsid w:val="001A53DE"/>
    <w:rsid w:val="001A5805"/>
    <w:rsid w:val="001A6CF1"/>
    <w:rsid w:val="001A7119"/>
    <w:rsid w:val="001A7A42"/>
    <w:rsid w:val="001B06AA"/>
    <w:rsid w:val="001B08D3"/>
    <w:rsid w:val="001B0D6B"/>
    <w:rsid w:val="001B12A9"/>
    <w:rsid w:val="001B1664"/>
    <w:rsid w:val="001B1F88"/>
    <w:rsid w:val="001B2167"/>
    <w:rsid w:val="001B3379"/>
    <w:rsid w:val="001B3923"/>
    <w:rsid w:val="001B3E67"/>
    <w:rsid w:val="001B4349"/>
    <w:rsid w:val="001B4B65"/>
    <w:rsid w:val="001B59BE"/>
    <w:rsid w:val="001B6540"/>
    <w:rsid w:val="001B6CB4"/>
    <w:rsid w:val="001B6DA8"/>
    <w:rsid w:val="001C03FC"/>
    <w:rsid w:val="001C3AA0"/>
    <w:rsid w:val="001C431B"/>
    <w:rsid w:val="001C4340"/>
    <w:rsid w:val="001C4744"/>
    <w:rsid w:val="001C4983"/>
    <w:rsid w:val="001C4A6F"/>
    <w:rsid w:val="001C51F1"/>
    <w:rsid w:val="001C5422"/>
    <w:rsid w:val="001C5785"/>
    <w:rsid w:val="001C5C1E"/>
    <w:rsid w:val="001C6A70"/>
    <w:rsid w:val="001C71C7"/>
    <w:rsid w:val="001C7E65"/>
    <w:rsid w:val="001D0CB0"/>
    <w:rsid w:val="001D13FF"/>
    <w:rsid w:val="001D1BE0"/>
    <w:rsid w:val="001D27DC"/>
    <w:rsid w:val="001D4157"/>
    <w:rsid w:val="001D4409"/>
    <w:rsid w:val="001D48CC"/>
    <w:rsid w:val="001D4978"/>
    <w:rsid w:val="001D4CD5"/>
    <w:rsid w:val="001D5F2A"/>
    <w:rsid w:val="001D644E"/>
    <w:rsid w:val="001D6939"/>
    <w:rsid w:val="001D7583"/>
    <w:rsid w:val="001E009D"/>
    <w:rsid w:val="001E0455"/>
    <w:rsid w:val="001E08D7"/>
    <w:rsid w:val="001E16AE"/>
    <w:rsid w:val="001E2B1A"/>
    <w:rsid w:val="001E2B4C"/>
    <w:rsid w:val="001E2CD5"/>
    <w:rsid w:val="001E3557"/>
    <w:rsid w:val="001E3C77"/>
    <w:rsid w:val="001E5116"/>
    <w:rsid w:val="001E6018"/>
    <w:rsid w:val="001E6034"/>
    <w:rsid w:val="001E64FB"/>
    <w:rsid w:val="001E673C"/>
    <w:rsid w:val="001E68EF"/>
    <w:rsid w:val="001E7507"/>
    <w:rsid w:val="001E7BB2"/>
    <w:rsid w:val="001F13BF"/>
    <w:rsid w:val="001F1609"/>
    <w:rsid w:val="001F1BB2"/>
    <w:rsid w:val="001F3311"/>
    <w:rsid w:val="001F3631"/>
    <w:rsid w:val="001F41C6"/>
    <w:rsid w:val="001F41D2"/>
    <w:rsid w:val="001F42E5"/>
    <w:rsid w:val="001F4728"/>
    <w:rsid w:val="001F4978"/>
    <w:rsid w:val="001F5AAD"/>
    <w:rsid w:val="001F621B"/>
    <w:rsid w:val="001F699A"/>
    <w:rsid w:val="001F6BF7"/>
    <w:rsid w:val="001F7C3F"/>
    <w:rsid w:val="002003BD"/>
    <w:rsid w:val="00200F95"/>
    <w:rsid w:val="00201A4D"/>
    <w:rsid w:val="00202136"/>
    <w:rsid w:val="00202A43"/>
    <w:rsid w:val="00202B72"/>
    <w:rsid w:val="002032E2"/>
    <w:rsid w:val="0020369D"/>
    <w:rsid w:val="0020568E"/>
    <w:rsid w:val="00205A1C"/>
    <w:rsid w:val="002060E7"/>
    <w:rsid w:val="002061AD"/>
    <w:rsid w:val="00206682"/>
    <w:rsid w:val="00207D56"/>
    <w:rsid w:val="002105C5"/>
    <w:rsid w:val="002105C9"/>
    <w:rsid w:val="0021071B"/>
    <w:rsid w:val="00210AED"/>
    <w:rsid w:val="00211170"/>
    <w:rsid w:val="00211307"/>
    <w:rsid w:val="0021189B"/>
    <w:rsid w:val="00212403"/>
    <w:rsid w:val="00212697"/>
    <w:rsid w:val="00212D0A"/>
    <w:rsid w:val="00212DCC"/>
    <w:rsid w:val="00212FE4"/>
    <w:rsid w:val="00213A2E"/>
    <w:rsid w:val="00214B04"/>
    <w:rsid w:val="002158C5"/>
    <w:rsid w:val="00216061"/>
    <w:rsid w:val="00216740"/>
    <w:rsid w:val="00216D19"/>
    <w:rsid w:val="00217339"/>
    <w:rsid w:val="00220A49"/>
    <w:rsid w:val="00220C85"/>
    <w:rsid w:val="002214C5"/>
    <w:rsid w:val="0022166E"/>
    <w:rsid w:val="002218B5"/>
    <w:rsid w:val="00221D7E"/>
    <w:rsid w:val="00223BED"/>
    <w:rsid w:val="00224632"/>
    <w:rsid w:val="002251D8"/>
    <w:rsid w:val="00225A8C"/>
    <w:rsid w:val="00225DE3"/>
    <w:rsid w:val="0022688A"/>
    <w:rsid w:val="00226C85"/>
    <w:rsid w:val="0022755C"/>
    <w:rsid w:val="00227A9E"/>
    <w:rsid w:val="00227C1C"/>
    <w:rsid w:val="00230265"/>
    <w:rsid w:val="00230A8F"/>
    <w:rsid w:val="0023164B"/>
    <w:rsid w:val="00231718"/>
    <w:rsid w:val="002317D8"/>
    <w:rsid w:val="00232598"/>
    <w:rsid w:val="002339AC"/>
    <w:rsid w:val="00233D00"/>
    <w:rsid w:val="002344AE"/>
    <w:rsid w:val="00234D9D"/>
    <w:rsid w:val="002350CD"/>
    <w:rsid w:val="00235353"/>
    <w:rsid w:val="0023582D"/>
    <w:rsid w:val="00235AFB"/>
    <w:rsid w:val="00236F73"/>
    <w:rsid w:val="002376A3"/>
    <w:rsid w:val="002378C4"/>
    <w:rsid w:val="00237BF2"/>
    <w:rsid w:val="00240594"/>
    <w:rsid w:val="00240AB5"/>
    <w:rsid w:val="0024149E"/>
    <w:rsid w:val="002421C2"/>
    <w:rsid w:val="0024288B"/>
    <w:rsid w:val="00242925"/>
    <w:rsid w:val="00242BF1"/>
    <w:rsid w:val="002431FA"/>
    <w:rsid w:val="00243B2F"/>
    <w:rsid w:val="00243EC3"/>
    <w:rsid w:val="0024668D"/>
    <w:rsid w:val="00246A5B"/>
    <w:rsid w:val="00247C5A"/>
    <w:rsid w:val="00247C5F"/>
    <w:rsid w:val="00247E87"/>
    <w:rsid w:val="0025086B"/>
    <w:rsid w:val="00252B3E"/>
    <w:rsid w:val="002537E1"/>
    <w:rsid w:val="00253E77"/>
    <w:rsid w:val="00254666"/>
    <w:rsid w:val="00254B16"/>
    <w:rsid w:val="0025538C"/>
    <w:rsid w:val="00255AD1"/>
    <w:rsid w:val="0025660A"/>
    <w:rsid w:val="00256EB9"/>
    <w:rsid w:val="002570D5"/>
    <w:rsid w:val="0025751D"/>
    <w:rsid w:val="00257621"/>
    <w:rsid w:val="00260221"/>
    <w:rsid w:val="00260264"/>
    <w:rsid w:val="002605A4"/>
    <w:rsid w:val="002606E7"/>
    <w:rsid w:val="00260D16"/>
    <w:rsid w:val="002616C9"/>
    <w:rsid w:val="00262543"/>
    <w:rsid w:val="002627B9"/>
    <w:rsid w:val="00263917"/>
    <w:rsid w:val="00263B4B"/>
    <w:rsid w:val="00263E8C"/>
    <w:rsid w:val="002645FE"/>
    <w:rsid w:val="00264C67"/>
    <w:rsid w:val="00264F56"/>
    <w:rsid w:val="00265003"/>
    <w:rsid w:val="002656F2"/>
    <w:rsid w:val="002668D8"/>
    <w:rsid w:val="002671FD"/>
    <w:rsid w:val="00267B44"/>
    <w:rsid w:val="00267CCC"/>
    <w:rsid w:val="002702CD"/>
    <w:rsid w:val="002702F6"/>
    <w:rsid w:val="00270718"/>
    <w:rsid w:val="002709A4"/>
    <w:rsid w:val="00270AD7"/>
    <w:rsid w:val="00270E36"/>
    <w:rsid w:val="002710BC"/>
    <w:rsid w:val="00271D13"/>
    <w:rsid w:val="002720B5"/>
    <w:rsid w:val="00272A52"/>
    <w:rsid w:val="00274AD4"/>
    <w:rsid w:val="00275C7E"/>
    <w:rsid w:val="00275E99"/>
    <w:rsid w:val="002761ED"/>
    <w:rsid w:val="002767D1"/>
    <w:rsid w:val="002767DA"/>
    <w:rsid w:val="002770F6"/>
    <w:rsid w:val="002772F8"/>
    <w:rsid w:val="00277704"/>
    <w:rsid w:val="002777E9"/>
    <w:rsid w:val="0027780B"/>
    <w:rsid w:val="00277A42"/>
    <w:rsid w:val="002804E9"/>
    <w:rsid w:val="002807DB"/>
    <w:rsid w:val="002809E4"/>
    <w:rsid w:val="00280EC0"/>
    <w:rsid w:val="00281A35"/>
    <w:rsid w:val="002828E4"/>
    <w:rsid w:val="00282C5F"/>
    <w:rsid w:val="00283E30"/>
    <w:rsid w:val="00283F6D"/>
    <w:rsid w:val="00286876"/>
    <w:rsid w:val="00286877"/>
    <w:rsid w:val="00286B94"/>
    <w:rsid w:val="0028772F"/>
    <w:rsid w:val="002903A6"/>
    <w:rsid w:val="002906FB"/>
    <w:rsid w:val="0029095D"/>
    <w:rsid w:val="00290B47"/>
    <w:rsid w:val="00291067"/>
    <w:rsid w:val="0029191E"/>
    <w:rsid w:val="00292333"/>
    <w:rsid w:val="0029258C"/>
    <w:rsid w:val="00292B38"/>
    <w:rsid w:val="00293EE9"/>
    <w:rsid w:val="0029438A"/>
    <w:rsid w:val="00294D11"/>
    <w:rsid w:val="00295134"/>
    <w:rsid w:val="00295529"/>
    <w:rsid w:val="00295617"/>
    <w:rsid w:val="00296269"/>
    <w:rsid w:val="00296293"/>
    <w:rsid w:val="00296984"/>
    <w:rsid w:val="00296BDA"/>
    <w:rsid w:val="00296C83"/>
    <w:rsid w:val="002977F8"/>
    <w:rsid w:val="002A02F8"/>
    <w:rsid w:val="002A10BE"/>
    <w:rsid w:val="002A13EC"/>
    <w:rsid w:val="002A1BF6"/>
    <w:rsid w:val="002A21DA"/>
    <w:rsid w:val="002A26A5"/>
    <w:rsid w:val="002A3937"/>
    <w:rsid w:val="002A4F99"/>
    <w:rsid w:val="002A56C3"/>
    <w:rsid w:val="002A5F71"/>
    <w:rsid w:val="002A71FA"/>
    <w:rsid w:val="002B052C"/>
    <w:rsid w:val="002B2B13"/>
    <w:rsid w:val="002B2ED2"/>
    <w:rsid w:val="002B2F9B"/>
    <w:rsid w:val="002B309B"/>
    <w:rsid w:val="002B31C0"/>
    <w:rsid w:val="002B3BBC"/>
    <w:rsid w:val="002B45E9"/>
    <w:rsid w:val="002B4AC0"/>
    <w:rsid w:val="002B4F5F"/>
    <w:rsid w:val="002B51E0"/>
    <w:rsid w:val="002B56F0"/>
    <w:rsid w:val="002B596D"/>
    <w:rsid w:val="002B61FC"/>
    <w:rsid w:val="002B64F5"/>
    <w:rsid w:val="002B74FE"/>
    <w:rsid w:val="002B7C51"/>
    <w:rsid w:val="002B7F2F"/>
    <w:rsid w:val="002C098F"/>
    <w:rsid w:val="002C183C"/>
    <w:rsid w:val="002C1AD6"/>
    <w:rsid w:val="002C1D4B"/>
    <w:rsid w:val="002C2046"/>
    <w:rsid w:val="002C2064"/>
    <w:rsid w:val="002C3A77"/>
    <w:rsid w:val="002C4839"/>
    <w:rsid w:val="002C4C84"/>
    <w:rsid w:val="002C6838"/>
    <w:rsid w:val="002C6C3E"/>
    <w:rsid w:val="002D0C17"/>
    <w:rsid w:val="002D1C33"/>
    <w:rsid w:val="002D21A1"/>
    <w:rsid w:val="002D285D"/>
    <w:rsid w:val="002D47EA"/>
    <w:rsid w:val="002D4928"/>
    <w:rsid w:val="002D4F09"/>
    <w:rsid w:val="002D4FBF"/>
    <w:rsid w:val="002D53B9"/>
    <w:rsid w:val="002D5B6B"/>
    <w:rsid w:val="002D5D13"/>
    <w:rsid w:val="002D6DF9"/>
    <w:rsid w:val="002D7930"/>
    <w:rsid w:val="002D7C21"/>
    <w:rsid w:val="002D7EED"/>
    <w:rsid w:val="002E1A3F"/>
    <w:rsid w:val="002E1D59"/>
    <w:rsid w:val="002E272E"/>
    <w:rsid w:val="002E2AE9"/>
    <w:rsid w:val="002E3192"/>
    <w:rsid w:val="002E391C"/>
    <w:rsid w:val="002E4EA7"/>
    <w:rsid w:val="002E535D"/>
    <w:rsid w:val="002E6515"/>
    <w:rsid w:val="002E6845"/>
    <w:rsid w:val="002E7897"/>
    <w:rsid w:val="002E79D5"/>
    <w:rsid w:val="002F02BA"/>
    <w:rsid w:val="002F043F"/>
    <w:rsid w:val="002F0DCB"/>
    <w:rsid w:val="002F0E91"/>
    <w:rsid w:val="002F1CF3"/>
    <w:rsid w:val="002F2CC6"/>
    <w:rsid w:val="002F31AC"/>
    <w:rsid w:val="002F3360"/>
    <w:rsid w:val="002F4071"/>
    <w:rsid w:val="002F45CF"/>
    <w:rsid w:val="002F5933"/>
    <w:rsid w:val="002F59EA"/>
    <w:rsid w:val="002F5F70"/>
    <w:rsid w:val="002F647B"/>
    <w:rsid w:val="003006BF"/>
    <w:rsid w:val="00300938"/>
    <w:rsid w:val="00300FD9"/>
    <w:rsid w:val="00301330"/>
    <w:rsid w:val="00301803"/>
    <w:rsid w:val="00301F84"/>
    <w:rsid w:val="003033AC"/>
    <w:rsid w:val="00304418"/>
    <w:rsid w:val="003045BD"/>
    <w:rsid w:val="0030556E"/>
    <w:rsid w:val="00305B65"/>
    <w:rsid w:val="00306722"/>
    <w:rsid w:val="00310DA6"/>
    <w:rsid w:val="00311F31"/>
    <w:rsid w:val="00312DC5"/>
    <w:rsid w:val="00313545"/>
    <w:rsid w:val="00313CCB"/>
    <w:rsid w:val="003142A6"/>
    <w:rsid w:val="00314A61"/>
    <w:rsid w:val="00315923"/>
    <w:rsid w:val="00315A24"/>
    <w:rsid w:val="0031645E"/>
    <w:rsid w:val="00316AE6"/>
    <w:rsid w:val="00317447"/>
    <w:rsid w:val="00317867"/>
    <w:rsid w:val="0032154C"/>
    <w:rsid w:val="003215F3"/>
    <w:rsid w:val="0032174E"/>
    <w:rsid w:val="0032180A"/>
    <w:rsid w:val="00321B63"/>
    <w:rsid w:val="0032239E"/>
    <w:rsid w:val="00322449"/>
    <w:rsid w:val="003233E3"/>
    <w:rsid w:val="0032364A"/>
    <w:rsid w:val="003236C8"/>
    <w:rsid w:val="00323DC8"/>
    <w:rsid w:val="00324270"/>
    <w:rsid w:val="00324676"/>
    <w:rsid w:val="00324C90"/>
    <w:rsid w:val="003256EA"/>
    <w:rsid w:val="00325ABE"/>
    <w:rsid w:val="00327054"/>
    <w:rsid w:val="00327397"/>
    <w:rsid w:val="00327AC4"/>
    <w:rsid w:val="00327D51"/>
    <w:rsid w:val="00330989"/>
    <w:rsid w:val="003345F4"/>
    <w:rsid w:val="00334DDF"/>
    <w:rsid w:val="003351AA"/>
    <w:rsid w:val="003352E4"/>
    <w:rsid w:val="00335455"/>
    <w:rsid w:val="003354DA"/>
    <w:rsid w:val="00336EB2"/>
    <w:rsid w:val="0033779B"/>
    <w:rsid w:val="0034094D"/>
    <w:rsid w:val="00340966"/>
    <w:rsid w:val="00341254"/>
    <w:rsid w:val="00341332"/>
    <w:rsid w:val="003417AB"/>
    <w:rsid w:val="00342370"/>
    <w:rsid w:val="00342FD6"/>
    <w:rsid w:val="00343260"/>
    <w:rsid w:val="003435CE"/>
    <w:rsid w:val="00343D6F"/>
    <w:rsid w:val="00343D9A"/>
    <w:rsid w:val="00343E9E"/>
    <w:rsid w:val="00344103"/>
    <w:rsid w:val="00344C09"/>
    <w:rsid w:val="003452B9"/>
    <w:rsid w:val="003473E7"/>
    <w:rsid w:val="00347610"/>
    <w:rsid w:val="00347702"/>
    <w:rsid w:val="003506C8"/>
    <w:rsid w:val="00350A80"/>
    <w:rsid w:val="00350A94"/>
    <w:rsid w:val="00350F9A"/>
    <w:rsid w:val="00351B55"/>
    <w:rsid w:val="00351D12"/>
    <w:rsid w:val="00353C96"/>
    <w:rsid w:val="003549B1"/>
    <w:rsid w:val="00354CB7"/>
    <w:rsid w:val="00355076"/>
    <w:rsid w:val="003554FF"/>
    <w:rsid w:val="00355670"/>
    <w:rsid w:val="003561FD"/>
    <w:rsid w:val="003565BB"/>
    <w:rsid w:val="00357307"/>
    <w:rsid w:val="00357BF9"/>
    <w:rsid w:val="00360014"/>
    <w:rsid w:val="003619D7"/>
    <w:rsid w:val="00361F1A"/>
    <w:rsid w:val="00362297"/>
    <w:rsid w:val="003627B9"/>
    <w:rsid w:val="00362B54"/>
    <w:rsid w:val="00363813"/>
    <w:rsid w:val="003638C4"/>
    <w:rsid w:val="00363A88"/>
    <w:rsid w:val="00363E96"/>
    <w:rsid w:val="00364070"/>
    <w:rsid w:val="003644E7"/>
    <w:rsid w:val="00364625"/>
    <w:rsid w:val="00364A2C"/>
    <w:rsid w:val="00364EC8"/>
    <w:rsid w:val="00365313"/>
    <w:rsid w:val="00365400"/>
    <w:rsid w:val="003654CD"/>
    <w:rsid w:val="00365C86"/>
    <w:rsid w:val="00366EA8"/>
    <w:rsid w:val="003671B9"/>
    <w:rsid w:val="00370C53"/>
    <w:rsid w:val="0037124B"/>
    <w:rsid w:val="00371397"/>
    <w:rsid w:val="0037154E"/>
    <w:rsid w:val="00371A50"/>
    <w:rsid w:val="0037282C"/>
    <w:rsid w:val="00372AF5"/>
    <w:rsid w:val="00373E37"/>
    <w:rsid w:val="00374B13"/>
    <w:rsid w:val="00374DEA"/>
    <w:rsid w:val="00374ED0"/>
    <w:rsid w:val="00375195"/>
    <w:rsid w:val="003751F2"/>
    <w:rsid w:val="003752CF"/>
    <w:rsid w:val="003757D8"/>
    <w:rsid w:val="00377B5C"/>
    <w:rsid w:val="00377E57"/>
    <w:rsid w:val="00381A9A"/>
    <w:rsid w:val="003824D8"/>
    <w:rsid w:val="00382C31"/>
    <w:rsid w:val="00382D5C"/>
    <w:rsid w:val="00383326"/>
    <w:rsid w:val="003839DD"/>
    <w:rsid w:val="003840D9"/>
    <w:rsid w:val="00384D05"/>
    <w:rsid w:val="00384EB8"/>
    <w:rsid w:val="0038539E"/>
    <w:rsid w:val="00385571"/>
    <w:rsid w:val="00386494"/>
    <w:rsid w:val="00387428"/>
    <w:rsid w:val="00387588"/>
    <w:rsid w:val="00387C8F"/>
    <w:rsid w:val="003903BE"/>
    <w:rsid w:val="003905FA"/>
    <w:rsid w:val="00390B93"/>
    <w:rsid w:val="00390D33"/>
    <w:rsid w:val="0039159F"/>
    <w:rsid w:val="00391BC9"/>
    <w:rsid w:val="00391D85"/>
    <w:rsid w:val="00391DC1"/>
    <w:rsid w:val="0039208C"/>
    <w:rsid w:val="003921E8"/>
    <w:rsid w:val="00395F1F"/>
    <w:rsid w:val="00396B3C"/>
    <w:rsid w:val="003976EE"/>
    <w:rsid w:val="00397D87"/>
    <w:rsid w:val="003A0B0C"/>
    <w:rsid w:val="003A0E97"/>
    <w:rsid w:val="003A1040"/>
    <w:rsid w:val="003A1746"/>
    <w:rsid w:val="003A198B"/>
    <w:rsid w:val="003A2A2C"/>
    <w:rsid w:val="003A2E3B"/>
    <w:rsid w:val="003A2EF3"/>
    <w:rsid w:val="003A45E2"/>
    <w:rsid w:val="003A4B00"/>
    <w:rsid w:val="003A4B8F"/>
    <w:rsid w:val="003A4ED2"/>
    <w:rsid w:val="003A60E0"/>
    <w:rsid w:val="003A7241"/>
    <w:rsid w:val="003A7C20"/>
    <w:rsid w:val="003B014A"/>
    <w:rsid w:val="003B0636"/>
    <w:rsid w:val="003B086D"/>
    <w:rsid w:val="003B094A"/>
    <w:rsid w:val="003B1467"/>
    <w:rsid w:val="003B1919"/>
    <w:rsid w:val="003B20F9"/>
    <w:rsid w:val="003B24A2"/>
    <w:rsid w:val="003B2545"/>
    <w:rsid w:val="003B341F"/>
    <w:rsid w:val="003B3D18"/>
    <w:rsid w:val="003B4483"/>
    <w:rsid w:val="003B4489"/>
    <w:rsid w:val="003B4810"/>
    <w:rsid w:val="003B5414"/>
    <w:rsid w:val="003B5A2E"/>
    <w:rsid w:val="003B5C51"/>
    <w:rsid w:val="003B6677"/>
    <w:rsid w:val="003B6A70"/>
    <w:rsid w:val="003C0A02"/>
    <w:rsid w:val="003C0EBE"/>
    <w:rsid w:val="003C15AC"/>
    <w:rsid w:val="003C1B17"/>
    <w:rsid w:val="003C1DA4"/>
    <w:rsid w:val="003C1EAF"/>
    <w:rsid w:val="003C23F8"/>
    <w:rsid w:val="003C26EF"/>
    <w:rsid w:val="003C279F"/>
    <w:rsid w:val="003C32B2"/>
    <w:rsid w:val="003C4073"/>
    <w:rsid w:val="003C40F3"/>
    <w:rsid w:val="003C5147"/>
    <w:rsid w:val="003C5324"/>
    <w:rsid w:val="003C5801"/>
    <w:rsid w:val="003C5A09"/>
    <w:rsid w:val="003C6F2D"/>
    <w:rsid w:val="003C727F"/>
    <w:rsid w:val="003D0503"/>
    <w:rsid w:val="003D19F1"/>
    <w:rsid w:val="003D2CC1"/>
    <w:rsid w:val="003D5229"/>
    <w:rsid w:val="003D66DE"/>
    <w:rsid w:val="003D727D"/>
    <w:rsid w:val="003D78AB"/>
    <w:rsid w:val="003E1682"/>
    <w:rsid w:val="003E1A6E"/>
    <w:rsid w:val="003E1E0A"/>
    <w:rsid w:val="003E1FA0"/>
    <w:rsid w:val="003E2AA4"/>
    <w:rsid w:val="003E3032"/>
    <w:rsid w:val="003E37EE"/>
    <w:rsid w:val="003E3E67"/>
    <w:rsid w:val="003E45EA"/>
    <w:rsid w:val="003E5CBD"/>
    <w:rsid w:val="003E61B4"/>
    <w:rsid w:val="003E6437"/>
    <w:rsid w:val="003E66A5"/>
    <w:rsid w:val="003E6823"/>
    <w:rsid w:val="003E7BC7"/>
    <w:rsid w:val="003F049F"/>
    <w:rsid w:val="003F0516"/>
    <w:rsid w:val="003F1125"/>
    <w:rsid w:val="003F21FD"/>
    <w:rsid w:val="003F223D"/>
    <w:rsid w:val="003F2959"/>
    <w:rsid w:val="003F48A6"/>
    <w:rsid w:val="003F4C03"/>
    <w:rsid w:val="003F5122"/>
    <w:rsid w:val="003F6017"/>
    <w:rsid w:val="003F6151"/>
    <w:rsid w:val="003F6406"/>
    <w:rsid w:val="003F65C3"/>
    <w:rsid w:val="003F68EE"/>
    <w:rsid w:val="003F6AD4"/>
    <w:rsid w:val="003F6F54"/>
    <w:rsid w:val="003F7106"/>
    <w:rsid w:val="003F73CE"/>
    <w:rsid w:val="0040061A"/>
    <w:rsid w:val="0040095F"/>
    <w:rsid w:val="004010C2"/>
    <w:rsid w:val="004015A8"/>
    <w:rsid w:val="00401C8C"/>
    <w:rsid w:val="00402816"/>
    <w:rsid w:val="0040298F"/>
    <w:rsid w:val="00402FB6"/>
    <w:rsid w:val="00403C2F"/>
    <w:rsid w:val="00403EC7"/>
    <w:rsid w:val="0040427A"/>
    <w:rsid w:val="00404E3B"/>
    <w:rsid w:val="00406C35"/>
    <w:rsid w:val="004100BF"/>
    <w:rsid w:val="0041035D"/>
    <w:rsid w:val="004104F2"/>
    <w:rsid w:val="00410F37"/>
    <w:rsid w:val="00411B92"/>
    <w:rsid w:val="00412A09"/>
    <w:rsid w:val="00412F4F"/>
    <w:rsid w:val="00413B5A"/>
    <w:rsid w:val="004142D5"/>
    <w:rsid w:val="00414ED3"/>
    <w:rsid w:val="00415E0C"/>
    <w:rsid w:val="004179B2"/>
    <w:rsid w:val="0042074A"/>
    <w:rsid w:val="00421DFB"/>
    <w:rsid w:val="0042291E"/>
    <w:rsid w:val="004230B4"/>
    <w:rsid w:val="004235F3"/>
    <w:rsid w:val="00423808"/>
    <w:rsid w:val="00423D97"/>
    <w:rsid w:val="00424054"/>
    <w:rsid w:val="0042486D"/>
    <w:rsid w:val="00425300"/>
    <w:rsid w:val="00425BFB"/>
    <w:rsid w:val="00426861"/>
    <w:rsid w:val="004273DE"/>
    <w:rsid w:val="00427779"/>
    <w:rsid w:val="00427E64"/>
    <w:rsid w:val="00427F92"/>
    <w:rsid w:val="00430529"/>
    <w:rsid w:val="00430D76"/>
    <w:rsid w:val="00430DDB"/>
    <w:rsid w:val="0043103D"/>
    <w:rsid w:val="004322E9"/>
    <w:rsid w:val="00432B90"/>
    <w:rsid w:val="00433249"/>
    <w:rsid w:val="00433E2E"/>
    <w:rsid w:val="00433FF5"/>
    <w:rsid w:val="004346A4"/>
    <w:rsid w:val="004358E1"/>
    <w:rsid w:val="00435B82"/>
    <w:rsid w:val="00435C10"/>
    <w:rsid w:val="00435DC7"/>
    <w:rsid w:val="004361BB"/>
    <w:rsid w:val="00436ACA"/>
    <w:rsid w:val="00436EB4"/>
    <w:rsid w:val="0044054A"/>
    <w:rsid w:val="004405E5"/>
    <w:rsid w:val="00440D16"/>
    <w:rsid w:val="00440D3D"/>
    <w:rsid w:val="004429BF"/>
    <w:rsid w:val="004429E9"/>
    <w:rsid w:val="00442AE0"/>
    <w:rsid w:val="00443BF3"/>
    <w:rsid w:val="00443C00"/>
    <w:rsid w:val="00443F3F"/>
    <w:rsid w:val="00444784"/>
    <w:rsid w:val="00445B79"/>
    <w:rsid w:val="00446119"/>
    <w:rsid w:val="0044661F"/>
    <w:rsid w:val="0044689A"/>
    <w:rsid w:val="00447987"/>
    <w:rsid w:val="00450853"/>
    <w:rsid w:val="004512CF"/>
    <w:rsid w:val="00451632"/>
    <w:rsid w:val="0045168D"/>
    <w:rsid w:val="00453990"/>
    <w:rsid w:val="00455665"/>
    <w:rsid w:val="00455F25"/>
    <w:rsid w:val="004569FB"/>
    <w:rsid w:val="00456B36"/>
    <w:rsid w:val="00457450"/>
    <w:rsid w:val="00457684"/>
    <w:rsid w:val="00457A4B"/>
    <w:rsid w:val="00457E31"/>
    <w:rsid w:val="00460F76"/>
    <w:rsid w:val="0046215F"/>
    <w:rsid w:val="004628EB"/>
    <w:rsid w:val="00462D34"/>
    <w:rsid w:val="004638A4"/>
    <w:rsid w:val="004640D3"/>
    <w:rsid w:val="00464732"/>
    <w:rsid w:val="0046505A"/>
    <w:rsid w:val="00465805"/>
    <w:rsid w:val="00466DD5"/>
    <w:rsid w:val="0046724E"/>
    <w:rsid w:val="00467606"/>
    <w:rsid w:val="004677E6"/>
    <w:rsid w:val="00467F44"/>
    <w:rsid w:val="00470576"/>
    <w:rsid w:val="00473757"/>
    <w:rsid w:val="004738ED"/>
    <w:rsid w:val="0047424F"/>
    <w:rsid w:val="00474E5B"/>
    <w:rsid w:val="00475354"/>
    <w:rsid w:val="004755DB"/>
    <w:rsid w:val="00475A34"/>
    <w:rsid w:val="00475C20"/>
    <w:rsid w:val="00476A74"/>
    <w:rsid w:val="00476B80"/>
    <w:rsid w:val="00476E00"/>
    <w:rsid w:val="00480CA9"/>
    <w:rsid w:val="00481A71"/>
    <w:rsid w:val="00481C63"/>
    <w:rsid w:val="00482044"/>
    <w:rsid w:val="00482A79"/>
    <w:rsid w:val="00482C81"/>
    <w:rsid w:val="00482CF2"/>
    <w:rsid w:val="00483077"/>
    <w:rsid w:val="00484BBB"/>
    <w:rsid w:val="00485257"/>
    <w:rsid w:val="0048590B"/>
    <w:rsid w:val="00486C5D"/>
    <w:rsid w:val="00486CF9"/>
    <w:rsid w:val="00486FC7"/>
    <w:rsid w:val="00487070"/>
    <w:rsid w:val="0048717C"/>
    <w:rsid w:val="004873E0"/>
    <w:rsid w:val="004874EC"/>
    <w:rsid w:val="004877F5"/>
    <w:rsid w:val="00487E51"/>
    <w:rsid w:val="004902C7"/>
    <w:rsid w:val="004908E9"/>
    <w:rsid w:val="00490C51"/>
    <w:rsid w:val="00490C6B"/>
    <w:rsid w:val="004915C5"/>
    <w:rsid w:val="004916DD"/>
    <w:rsid w:val="0049196F"/>
    <w:rsid w:val="004922DA"/>
    <w:rsid w:val="0049413E"/>
    <w:rsid w:val="00494DCF"/>
    <w:rsid w:val="00495728"/>
    <w:rsid w:val="00495A64"/>
    <w:rsid w:val="00495B47"/>
    <w:rsid w:val="00495E72"/>
    <w:rsid w:val="004965C1"/>
    <w:rsid w:val="00496B7E"/>
    <w:rsid w:val="00496E5B"/>
    <w:rsid w:val="00497862"/>
    <w:rsid w:val="004A017F"/>
    <w:rsid w:val="004A0AD6"/>
    <w:rsid w:val="004A0B93"/>
    <w:rsid w:val="004A0BBB"/>
    <w:rsid w:val="004A1086"/>
    <w:rsid w:val="004A1467"/>
    <w:rsid w:val="004A1535"/>
    <w:rsid w:val="004A1AC0"/>
    <w:rsid w:val="004A252E"/>
    <w:rsid w:val="004A34E4"/>
    <w:rsid w:val="004A3561"/>
    <w:rsid w:val="004A3955"/>
    <w:rsid w:val="004A4F77"/>
    <w:rsid w:val="004A5BF7"/>
    <w:rsid w:val="004A6010"/>
    <w:rsid w:val="004A6175"/>
    <w:rsid w:val="004A675F"/>
    <w:rsid w:val="004A734E"/>
    <w:rsid w:val="004B064A"/>
    <w:rsid w:val="004B0A40"/>
    <w:rsid w:val="004B0FB5"/>
    <w:rsid w:val="004B1467"/>
    <w:rsid w:val="004B17FB"/>
    <w:rsid w:val="004B1D18"/>
    <w:rsid w:val="004B2806"/>
    <w:rsid w:val="004B32E4"/>
    <w:rsid w:val="004B3368"/>
    <w:rsid w:val="004B4415"/>
    <w:rsid w:val="004B469E"/>
    <w:rsid w:val="004B57B4"/>
    <w:rsid w:val="004B588D"/>
    <w:rsid w:val="004B5E2E"/>
    <w:rsid w:val="004B71B4"/>
    <w:rsid w:val="004B71F1"/>
    <w:rsid w:val="004B7BB6"/>
    <w:rsid w:val="004C0105"/>
    <w:rsid w:val="004C033E"/>
    <w:rsid w:val="004C1112"/>
    <w:rsid w:val="004C3B67"/>
    <w:rsid w:val="004C3C46"/>
    <w:rsid w:val="004C3E27"/>
    <w:rsid w:val="004C42EC"/>
    <w:rsid w:val="004C4389"/>
    <w:rsid w:val="004C5407"/>
    <w:rsid w:val="004C5474"/>
    <w:rsid w:val="004C57B4"/>
    <w:rsid w:val="004C59B2"/>
    <w:rsid w:val="004C5B3F"/>
    <w:rsid w:val="004C691E"/>
    <w:rsid w:val="004C7794"/>
    <w:rsid w:val="004D2256"/>
    <w:rsid w:val="004D2754"/>
    <w:rsid w:val="004D2D2C"/>
    <w:rsid w:val="004D2D52"/>
    <w:rsid w:val="004D3302"/>
    <w:rsid w:val="004D41D8"/>
    <w:rsid w:val="004D6B2B"/>
    <w:rsid w:val="004D7BB2"/>
    <w:rsid w:val="004E0473"/>
    <w:rsid w:val="004E0B8E"/>
    <w:rsid w:val="004E0CA0"/>
    <w:rsid w:val="004E10E7"/>
    <w:rsid w:val="004E1BA8"/>
    <w:rsid w:val="004E1C4A"/>
    <w:rsid w:val="004E1EAE"/>
    <w:rsid w:val="004E2E4E"/>
    <w:rsid w:val="004E3C80"/>
    <w:rsid w:val="004E4DFC"/>
    <w:rsid w:val="004E5464"/>
    <w:rsid w:val="004E55EC"/>
    <w:rsid w:val="004E5EE3"/>
    <w:rsid w:val="004E6F25"/>
    <w:rsid w:val="004E7AB0"/>
    <w:rsid w:val="004F2054"/>
    <w:rsid w:val="004F220F"/>
    <w:rsid w:val="004F2C05"/>
    <w:rsid w:val="004F2C3C"/>
    <w:rsid w:val="004F550F"/>
    <w:rsid w:val="004F55FF"/>
    <w:rsid w:val="004F5AB5"/>
    <w:rsid w:val="004F635E"/>
    <w:rsid w:val="004F6E39"/>
    <w:rsid w:val="004F7659"/>
    <w:rsid w:val="004F7C20"/>
    <w:rsid w:val="005016B1"/>
    <w:rsid w:val="00501D23"/>
    <w:rsid w:val="00502D7A"/>
    <w:rsid w:val="00502DA1"/>
    <w:rsid w:val="00502DEE"/>
    <w:rsid w:val="00503B0B"/>
    <w:rsid w:val="00503D92"/>
    <w:rsid w:val="00503E10"/>
    <w:rsid w:val="0050466F"/>
    <w:rsid w:val="00504D3F"/>
    <w:rsid w:val="00505747"/>
    <w:rsid w:val="00505DDC"/>
    <w:rsid w:val="0050634B"/>
    <w:rsid w:val="00506ACC"/>
    <w:rsid w:val="00510C96"/>
    <w:rsid w:val="00512FA6"/>
    <w:rsid w:val="00513CA7"/>
    <w:rsid w:val="0051525A"/>
    <w:rsid w:val="0051583F"/>
    <w:rsid w:val="00515B71"/>
    <w:rsid w:val="00515B95"/>
    <w:rsid w:val="00516171"/>
    <w:rsid w:val="0051693D"/>
    <w:rsid w:val="005200E9"/>
    <w:rsid w:val="00520587"/>
    <w:rsid w:val="00520727"/>
    <w:rsid w:val="005220BA"/>
    <w:rsid w:val="00522105"/>
    <w:rsid w:val="00522AE8"/>
    <w:rsid w:val="00524665"/>
    <w:rsid w:val="0052476C"/>
    <w:rsid w:val="005247E5"/>
    <w:rsid w:val="00524F93"/>
    <w:rsid w:val="00525709"/>
    <w:rsid w:val="005260FF"/>
    <w:rsid w:val="00526311"/>
    <w:rsid w:val="00526640"/>
    <w:rsid w:val="0052688B"/>
    <w:rsid w:val="00526D92"/>
    <w:rsid w:val="00527372"/>
    <w:rsid w:val="0053028C"/>
    <w:rsid w:val="00531B6C"/>
    <w:rsid w:val="00531BEC"/>
    <w:rsid w:val="00531C8B"/>
    <w:rsid w:val="00531DCA"/>
    <w:rsid w:val="00531DDE"/>
    <w:rsid w:val="00531E33"/>
    <w:rsid w:val="00532202"/>
    <w:rsid w:val="00532727"/>
    <w:rsid w:val="00533128"/>
    <w:rsid w:val="00533474"/>
    <w:rsid w:val="00533E0F"/>
    <w:rsid w:val="00534091"/>
    <w:rsid w:val="00534A1E"/>
    <w:rsid w:val="00535767"/>
    <w:rsid w:val="00535FD4"/>
    <w:rsid w:val="00536F8E"/>
    <w:rsid w:val="0053717F"/>
    <w:rsid w:val="00537296"/>
    <w:rsid w:val="00540455"/>
    <w:rsid w:val="00540570"/>
    <w:rsid w:val="00540BCD"/>
    <w:rsid w:val="0054112A"/>
    <w:rsid w:val="00541B53"/>
    <w:rsid w:val="00542BCE"/>
    <w:rsid w:val="005432A9"/>
    <w:rsid w:val="00544647"/>
    <w:rsid w:val="00545A15"/>
    <w:rsid w:val="005462D6"/>
    <w:rsid w:val="00546F37"/>
    <w:rsid w:val="00547547"/>
    <w:rsid w:val="0054797D"/>
    <w:rsid w:val="005507BD"/>
    <w:rsid w:val="00551607"/>
    <w:rsid w:val="00551CFC"/>
    <w:rsid w:val="005539C2"/>
    <w:rsid w:val="00553B02"/>
    <w:rsid w:val="00554A8E"/>
    <w:rsid w:val="0055685E"/>
    <w:rsid w:val="00556DF4"/>
    <w:rsid w:val="00556F1C"/>
    <w:rsid w:val="00557108"/>
    <w:rsid w:val="005575C7"/>
    <w:rsid w:val="005576E2"/>
    <w:rsid w:val="005605BD"/>
    <w:rsid w:val="0056120E"/>
    <w:rsid w:val="00561D42"/>
    <w:rsid w:val="005628E4"/>
    <w:rsid w:val="00562B59"/>
    <w:rsid w:val="00562F90"/>
    <w:rsid w:val="0056303E"/>
    <w:rsid w:val="005640AF"/>
    <w:rsid w:val="005647E0"/>
    <w:rsid w:val="00564885"/>
    <w:rsid w:val="005657F0"/>
    <w:rsid w:val="00565B81"/>
    <w:rsid w:val="00566261"/>
    <w:rsid w:val="00566739"/>
    <w:rsid w:val="0056697E"/>
    <w:rsid w:val="00566A53"/>
    <w:rsid w:val="0056717A"/>
    <w:rsid w:val="005672D8"/>
    <w:rsid w:val="0057013D"/>
    <w:rsid w:val="00570259"/>
    <w:rsid w:val="00570D0A"/>
    <w:rsid w:val="00570EF4"/>
    <w:rsid w:val="0057102E"/>
    <w:rsid w:val="0057200E"/>
    <w:rsid w:val="0057202B"/>
    <w:rsid w:val="00572231"/>
    <w:rsid w:val="0057277D"/>
    <w:rsid w:val="005729F5"/>
    <w:rsid w:val="00573652"/>
    <w:rsid w:val="00573661"/>
    <w:rsid w:val="005737CD"/>
    <w:rsid w:val="005738C3"/>
    <w:rsid w:val="00574A05"/>
    <w:rsid w:val="00574F6A"/>
    <w:rsid w:val="00575440"/>
    <w:rsid w:val="0057603A"/>
    <w:rsid w:val="0057645B"/>
    <w:rsid w:val="005769A7"/>
    <w:rsid w:val="005775E2"/>
    <w:rsid w:val="0058031F"/>
    <w:rsid w:val="00580A95"/>
    <w:rsid w:val="00581A97"/>
    <w:rsid w:val="00581C28"/>
    <w:rsid w:val="00584251"/>
    <w:rsid w:val="00584268"/>
    <w:rsid w:val="00584462"/>
    <w:rsid w:val="00584C81"/>
    <w:rsid w:val="005851AB"/>
    <w:rsid w:val="0058542D"/>
    <w:rsid w:val="00585652"/>
    <w:rsid w:val="00585C13"/>
    <w:rsid w:val="005860E8"/>
    <w:rsid w:val="0058617A"/>
    <w:rsid w:val="0058737E"/>
    <w:rsid w:val="0058757B"/>
    <w:rsid w:val="0059008A"/>
    <w:rsid w:val="005909DA"/>
    <w:rsid w:val="00590B4A"/>
    <w:rsid w:val="00590E49"/>
    <w:rsid w:val="00591D87"/>
    <w:rsid w:val="005929BA"/>
    <w:rsid w:val="0059308D"/>
    <w:rsid w:val="005938A8"/>
    <w:rsid w:val="00593BD3"/>
    <w:rsid w:val="005952CF"/>
    <w:rsid w:val="00596604"/>
    <w:rsid w:val="00596677"/>
    <w:rsid w:val="00596BAB"/>
    <w:rsid w:val="005970B1"/>
    <w:rsid w:val="005A0490"/>
    <w:rsid w:val="005A109D"/>
    <w:rsid w:val="005A1366"/>
    <w:rsid w:val="005A1647"/>
    <w:rsid w:val="005A1E22"/>
    <w:rsid w:val="005A226C"/>
    <w:rsid w:val="005A415E"/>
    <w:rsid w:val="005A428D"/>
    <w:rsid w:val="005A463B"/>
    <w:rsid w:val="005A4ABD"/>
    <w:rsid w:val="005A4CB4"/>
    <w:rsid w:val="005A4E61"/>
    <w:rsid w:val="005A5F3D"/>
    <w:rsid w:val="005A7426"/>
    <w:rsid w:val="005A7F4E"/>
    <w:rsid w:val="005B020C"/>
    <w:rsid w:val="005B03C8"/>
    <w:rsid w:val="005B0D06"/>
    <w:rsid w:val="005B0E63"/>
    <w:rsid w:val="005B0EA0"/>
    <w:rsid w:val="005B10EE"/>
    <w:rsid w:val="005B1C49"/>
    <w:rsid w:val="005B21DD"/>
    <w:rsid w:val="005B416E"/>
    <w:rsid w:val="005B4281"/>
    <w:rsid w:val="005B45E9"/>
    <w:rsid w:val="005B4AA3"/>
    <w:rsid w:val="005B5116"/>
    <w:rsid w:val="005B5798"/>
    <w:rsid w:val="005B5EF1"/>
    <w:rsid w:val="005B6584"/>
    <w:rsid w:val="005B7424"/>
    <w:rsid w:val="005B759C"/>
    <w:rsid w:val="005B760E"/>
    <w:rsid w:val="005B7E16"/>
    <w:rsid w:val="005C0E2A"/>
    <w:rsid w:val="005C0E5C"/>
    <w:rsid w:val="005C178D"/>
    <w:rsid w:val="005C1AED"/>
    <w:rsid w:val="005C2609"/>
    <w:rsid w:val="005C2B9A"/>
    <w:rsid w:val="005C4645"/>
    <w:rsid w:val="005C5294"/>
    <w:rsid w:val="005C5CC9"/>
    <w:rsid w:val="005C5CE5"/>
    <w:rsid w:val="005C6326"/>
    <w:rsid w:val="005C6797"/>
    <w:rsid w:val="005C691D"/>
    <w:rsid w:val="005D067D"/>
    <w:rsid w:val="005D17BE"/>
    <w:rsid w:val="005D2435"/>
    <w:rsid w:val="005D2FDE"/>
    <w:rsid w:val="005D30D3"/>
    <w:rsid w:val="005D31DC"/>
    <w:rsid w:val="005D3711"/>
    <w:rsid w:val="005D39A1"/>
    <w:rsid w:val="005D39F6"/>
    <w:rsid w:val="005D4428"/>
    <w:rsid w:val="005D4763"/>
    <w:rsid w:val="005D57B1"/>
    <w:rsid w:val="005D5951"/>
    <w:rsid w:val="005D6DB2"/>
    <w:rsid w:val="005D6E32"/>
    <w:rsid w:val="005D742C"/>
    <w:rsid w:val="005D74F3"/>
    <w:rsid w:val="005D779E"/>
    <w:rsid w:val="005D7E5A"/>
    <w:rsid w:val="005E0607"/>
    <w:rsid w:val="005E1E51"/>
    <w:rsid w:val="005E2C87"/>
    <w:rsid w:val="005E2FB8"/>
    <w:rsid w:val="005E4197"/>
    <w:rsid w:val="005E4C49"/>
    <w:rsid w:val="005E604E"/>
    <w:rsid w:val="005E629C"/>
    <w:rsid w:val="005E6B6B"/>
    <w:rsid w:val="005E7342"/>
    <w:rsid w:val="005E768C"/>
    <w:rsid w:val="005E7D1C"/>
    <w:rsid w:val="005E7E0C"/>
    <w:rsid w:val="005F0B79"/>
    <w:rsid w:val="005F118A"/>
    <w:rsid w:val="005F1AE1"/>
    <w:rsid w:val="005F1D32"/>
    <w:rsid w:val="005F1E09"/>
    <w:rsid w:val="005F201C"/>
    <w:rsid w:val="005F21FA"/>
    <w:rsid w:val="005F2AC4"/>
    <w:rsid w:val="005F2B90"/>
    <w:rsid w:val="005F2E1B"/>
    <w:rsid w:val="005F32AC"/>
    <w:rsid w:val="005F339C"/>
    <w:rsid w:val="005F4639"/>
    <w:rsid w:val="005F55AE"/>
    <w:rsid w:val="005F56CF"/>
    <w:rsid w:val="005F6778"/>
    <w:rsid w:val="005F6840"/>
    <w:rsid w:val="005F77DD"/>
    <w:rsid w:val="00600E34"/>
    <w:rsid w:val="00600EF9"/>
    <w:rsid w:val="00601243"/>
    <w:rsid w:val="00601375"/>
    <w:rsid w:val="00601B35"/>
    <w:rsid w:val="0060235A"/>
    <w:rsid w:val="00602CCD"/>
    <w:rsid w:val="00603004"/>
    <w:rsid w:val="006034A7"/>
    <w:rsid w:val="006041CB"/>
    <w:rsid w:val="00604496"/>
    <w:rsid w:val="00604687"/>
    <w:rsid w:val="00604820"/>
    <w:rsid w:val="00604BA5"/>
    <w:rsid w:val="006058FC"/>
    <w:rsid w:val="00606009"/>
    <w:rsid w:val="006064A7"/>
    <w:rsid w:val="00606D43"/>
    <w:rsid w:val="006075EB"/>
    <w:rsid w:val="006078FE"/>
    <w:rsid w:val="00610539"/>
    <w:rsid w:val="006115D6"/>
    <w:rsid w:val="00612A0A"/>
    <w:rsid w:val="00612CDE"/>
    <w:rsid w:val="00613281"/>
    <w:rsid w:val="006135A2"/>
    <w:rsid w:val="00613E26"/>
    <w:rsid w:val="00614006"/>
    <w:rsid w:val="00614A99"/>
    <w:rsid w:val="00615F70"/>
    <w:rsid w:val="0061626F"/>
    <w:rsid w:val="00616433"/>
    <w:rsid w:val="006167B3"/>
    <w:rsid w:val="00617146"/>
    <w:rsid w:val="0061725F"/>
    <w:rsid w:val="0062022A"/>
    <w:rsid w:val="00621276"/>
    <w:rsid w:val="0062128C"/>
    <w:rsid w:val="006218F3"/>
    <w:rsid w:val="00622D1F"/>
    <w:rsid w:val="0062338B"/>
    <w:rsid w:val="006237DD"/>
    <w:rsid w:val="006237DF"/>
    <w:rsid w:val="00623C17"/>
    <w:rsid w:val="006248A2"/>
    <w:rsid w:val="00625EFD"/>
    <w:rsid w:val="00626469"/>
    <w:rsid w:val="00626974"/>
    <w:rsid w:val="00627621"/>
    <w:rsid w:val="006277A4"/>
    <w:rsid w:val="00627B3E"/>
    <w:rsid w:val="00627CB9"/>
    <w:rsid w:val="00627FC1"/>
    <w:rsid w:val="00630573"/>
    <w:rsid w:val="00630DED"/>
    <w:rsid w:val="006312C1"/>
    <w:rsid w:val="00631496"/>
    <w:rsid w:val="006314AA"/>
    <w:rsid w:val="00631543"/>
    <w:rsid w:val="006318E1"/>
    <w:rsid w:val="00631BCA"/>
    <w:rsid w:val="0063302F"/>
    <w:rsid w:val="0063333D"/>
    <w:rsid w:val="00634FDD"/>
    <w:rsid w:val="00636682"/>
    <w:rsid w:val="00636FBD"/>
    <w:rsid w:val="006378CB"/>
    <w:rsid w:val="0063790C"/>
    <w:rsid w:val="00640369"/>
    <w:rsid w:val="00640499"/>
    <w:rsid w:val="006412E9"/>
    <w:rsid w:val="00641E19"/>
    <w:rsid w:val="00642822"/>
    <w:rsid w:val="006429A9"/>
    <w:rsid w:val="00642BAE"/>
    <w:rsid w:val="00642C21"/>
    <w:rsid w:val="0064459E"/>
    <w:rsid w:val="0064526C"/>
    <w:rsid w:val="00645798"/>
    <w:rsid w:val="00647C79"/>
    <w:rsid w:val="00650252"/>
    <w:rsid w:val="006504F7"/>
    <w:rsid w:val="00651220"/>
    <w:rsid w:val="006515F3"/>
    <w:rsid w:val="00651695"/>
    <w:rsid w:val="00653261"/>
    <w:rsid w:val="006536A9"/>
    <w:rsid w:val="00653E10"/>
    <w:rsid w:val="00655051"/>
    <w:rsid w:val="00655982"/>
    <w:rsid w:val="00655A2D"/>
    <w:rsid w:val="00656179"/>
    <w:rsid w:val="006569A3"/>
    <w:rsid w:val="00656A73"/>
    <w:rsid w:val="00656BEE"/>
    <w:rsid w:val="006601A3"/>
    <w:rsid w:val="006604D3"/>
    <w:rsid w:val="00662B0C"/>
    <w:rsid w:val="006636F3"/>
    <w:rsid w:val="006642EF"/>
    <w:rsid w:val="0066466B"/>
    <w:rsid w:val="00664D4C"/>
    <w:rsid w:val="00665467"/>
    <w:rsid w:val="00665AF3"/>
    <w:rsid w:val="00666B67"/>
    <w:rsid w:val="00666C57"/>
    <w:rsid w:val="00667C14"/>
    <w:rsid w:val="00670038"/>
    <w:rsid w:val="00670764"/>
    <w:rsid w:val="00670AB6"/>
    <w:rsid w:val="00670F31"/>
    <w:rsid w:val="00671CB3"/>
    <w:rsid w:val="006729B3"/>
    <w:rsid w:val="006729DD"/>
    <w:rsid w:val="006742C4"/>
    <w:rsid w:val="0067548F"/>
    <w:rsid w:val="0067568B"/>
    <w:rsid w:val="00675F94"/>
    <w:rsid w:val="0067635E"/>
    <w:rsid w:val="00677BFA"/>
    <w:rsid w:val="00677DFB"/>
    <w:rsid w:val="00680660"/>
    <w:rsid w:val="00680B35"/>
    <w:rsid w:val="00680B48"/>
    <w:rsid w:val="00680BB2"/>
    <w:rsid w:val="006820B4"/>
    <w:rsid w:val="006828F2"/>
    <w:rsid w:val="00682D7D"/>
    <w:rsid w:val="00682D89"/>
    <w:rsid w:val="00682F59"/>
    <w:rsid w:val="0068461E"/>
    <w:rsid w:val="00685ED6"/>
    <w:rsid w:val="00686531"/>
    <w:rsid w:val="00686D84"/>
    <w:rsid w:val="00687048"/>
    <w:rsid w:val="00687F60"/>
    <w:rsid w:val="00690E2B"/>
    <w:rsid w:val="0069334F"/>
    <w:rsid w:val="006948F1"/>
    <w:rsid w:val="006956CE"/>
    <w:rsid w:val="00696362"/>
    <w:rsid w:val="00696508"/>
    <w:rsid w:val="00696F01"/>
    <w:rsid w:val="0069795D"/>
    <w:rsid w:val="00697DD5"/>
    <w:rsid w:val="006A01FF"/>
    <w:rsid w:val="006A0D59"/>
    <w:rsid w:val="006A288D"/>
    <w:rsid w:val="006A2B5D"/>
    <w:rsid w:val="006A364A"/>
    <w:rsid w:val="006A38F3"/>
    <w:rsid w:val="006A3FD2"/>
    <w:rsid w:val="006A4952"/>
    <w:rsid w:val="006A4BC4"/>
    <w:rsid w:val="006A4D9D"/>
    <w:rsid w:val="006A56BE"/>
    <w:rsid w:val="006A6086"/>
    <w:rsid w:val="006A612D"/>
    <w:rsid w:val="006A6268"/>
    <w:rsid w:val="006A6842"/>
    <w:rsid w:val="006A726B"/>
    <w:rsid w:val="006B03BA"/>
    <w:rsid w:val="006B0EF6"/>
    <w:rsid w:val="006B16FF"/>
    <w:rsid w:val="006B19AD"/>
    <w:rsid w:val="006B1E0C"/>
    <w:rsid w:val="006B2202"/>
    <w:rsid w:val="006B2EC3"/>
    <w:rsid w:val="006B3746"/>
    <w:rsid w:val="006B3822"/>
    <w:rsid w:val="006B39A2"/>
    <w:rsid w:val="006B47D3"/>
    <w:rsid w:val="006B4F76"/>
    <w:rsid w:val="006B58E3"/>
    <w:rsid w:val="006B5EAF"/>
    <w:rsid w:val="006B60E2"/>
    <w:rsid w:val="006B7FBA"/>
    <w:rsid w:val="006C0630"/>
    <w:rsid w:val="006C0F3A"/>
    <w:rsid w:val="006C1195"/>
    <w:rsid w:val="006C1C98"/>
    <w:rsid w:val="006C3294"/>
    <w:rsid w:val="006C3659"/>
    <w:rsid w:val="006C3814"/>
    <w:rsid w:val="006C3BAF"/>
    <w:rsid w:val="006C3C9E"/>
    <w:rsid w:val="006C3FB2"/>
    <w:rsid w:val="006C4055"/>
    <w:rsid w:val="006C4303"/>
    <w:rsid w:val="006C43EE"/>
    <w:rsid w:val="006C4674"/>
    <w:rsid w:val="006C4B84"/>
    <w:rsid w:val="006C516A"/>
    <w:rsid w:val="006C5F1B"/>
    <w:rsid w:val="006C62A6"/>
    <w:rsid w:val="006C67B3"/>
    <w:rsid w:val="006C68B8"/>
    <w:rsid w:val="006C6CFC"/>
    <w:rsid w:val="006C77B4"/>
    <w:rsid w:val="006C7AED"/>
    <w:rsid w:val="006C7B29"/>
    <w:rsid w:val="006D02E1"/>
    <w:rsid w:val="006D0434"/>
    <w:rsid w:val="006D0AB9"/>
    <w:rsid w:val="006D1011"/>
    <w:rsid w:val="006D25C6"/>
    <w:rsid w:val="006D26E0"/>
    <w:rsid w:val="006D2AC4"/>
    <w:rsid w:val="006D32BE"/>
    <w:rsid w:val="006D367C"/>
    <w:rsid w:val="006D37A4"/>
    <w:rsid w:val="006D3802"/>
    <w:rsid w:val="006D38BA"/>
    <w:rsid w:val="006D38FA"/>
    <w:rsid w:val="006D3C9C"/>
    <w:rsid w:val="006D5106"/>
    <w:rsid w:val="006D558E"/>
    <w:rsid w:val="006D64FE"/>
    <w:rsid w:val="006D79DD"/>
    <w:rsid w:val="006D7EB3"/>
    <w:rsid w:val="006D7FCB"/>
    <w:rsid w:val="006E0C5B"/>
    <w:rsid w:val="006E0C60"/>
    <w:rsid w:val="006E0DCD"/>
    <w:rsid w:val="006E1ABF"/>
    <w:rsid w:val="006E2589"/>
    <w:rsid w:val="006E2659"/>
    <w:rsid w:val="006E26CB"/>
    <w:rsid w:val="006E299C"/>
    <w:rsid w:val="006E3B23"/>
    <w:rsid w:val="006E4109"/>
    <w:rsid w:val="006E4355"/>
    <w:rsid w:val="006E45D9"/>
    <w:rsid w:val="006E4AEB"/>
    <w:rsid w:val="006E4BB0"/>
    <w:rsid w:val="006E54F1"/>
    <w:rsid w:val="006E5D1F"/>
    <w:rsid w:val="006E6B30"/>
    <w:rsid w:val="006E716F"/>
    <w:rsid w:val="006E7745"/>
    <w:rsid w:val="006F08FE"/>
    <w:rsid w:val="006F093D"/>
    <w:rsid w:val="006F2973"/>
    <w:rsid w:val="006F2C76"/>
    <w:rsid w:val="006F3AED"/>
    <w:rsid w:val="006F4222"/>
    <w:rsid w:val="006F5D55"/>
    <w:rsid w:val="006F60C7"/>
    <w:rsid w:val="006F752C"/>
    <w:rsid w:val="00700039"/>
    <w:rsid w:val="00700268"/>
    <w:rsid w:val="007004E3"/>
    <w:rsid w:val="00700656"/>
    <w:rsid w:val="00700CF4"/>
    <w:rsid w:val="00702885"/>
    <w:rsid w:val="0070328C"/>
    <w:rsid w:val="00703580"/>
    <w:rsid w:val="007037A8"/>
    <w:rsid w:val="0070417A"/>
    <w:rsid w:val="007046B9"/>
    <w:rsid w:val="00704DC0"/>
    <w:rsid w:val="00706124"/>
    <w:rsid w:val="0070722D"/>
    <w:rsid w:val="007077FC"/>
    <w:rsid w:val="00710080"/>
    <w:rsid w:val="0071167B"/>
    <w:rsid w:val="00711A13"/>
    <w:rsid w:val="00711DF0"/>
    <w:rsid w:val="00711F59"/>
    <w:rsid w:val="007128CD"/>
    <w:rsid w:val="00712A94"/>
    <w:rsid w:val="00712EFE"/>
    <w:rsid w:val="00712F6A"/>
    <w:rsid w:val="007145A7"/>
    <w:rsid w:val="00714CEB"/>
    <w:rsid w:val="007152C2"/>
    <w:rsid w:val="00715AA0"/>
    <w:rsid w:val="00716C33"/>
    <w:rsid w:val="00720E08"/>
    <w:rsid w:val="0072131D"/>
    <w:rsid w:val="00722592"/>
    <w:rsid w:val="0072322F"/>
    <w:rsid w:val="007233A7"/>
    <w:rsid w:val="00723CD3"/>
    <w:rsid w:val="00724B5F"/>
    <w:rsid w:val="007257A0"/>
    <w:rsid w:val="00726097"/>
    <w:rsid w:val="00726123"/>
    <w:rsid w:val="00726837"/>
    <w:rsid w:val="00726A15"/>
    <w:rsid w:val="0073033B"/>
    <w:rsid w:val="00730824"/>
    <w:rsid w:val="00730CC2"/>
    <w:rsid w:val="00731E48"/>
    <w:rsid w:val="00733E8C"/>
    <w:rsid w:val="00733FAC"/>
    <w:rsid w:val="007343AC"/>
    <w:rsid w:val="0073462F"/>
    <w:rsid w:val="007346C1"/>
    <w:rsid w:val="0073596C"/>
    <w:rsid w:val="00735BDB"/>
    <w:rsid w:val="00735E89"/>
    <w:rsid w:val="00736488"/>
    <w:rsid w:val="007367EC"/>
    <w:rsid w:val="007404BA"/>
    <w:rsid w:val="0074091A"/>
    <w:rsid w:val="00740F4A"/>
    <w:rsid w:val="00741012"/>
    <w:rsid w:val="007412B3"/>
    <w:rsid w:val="00741B8E"/>
    <w:rsid w:val="00742B86"/>
    <w:rsid w:val="00743F9B"/>
    <w:rsid w:val="00744451"/>
    <w:rsid w:val="0074456C"/>
    <w:rsid w:val="0074474A"/>
    <w:rsid w:val="00744CDD"/>
    <w:rsid w:val="00744D85"/>
    <w:rsid w:val="0074519A"/>
    <w:rsid w:val="00745215"/>
    <w:rsid w:val="00745A91"/>
    <w:rsid w:val="007460B7"/>
    <w:rsid w:val="00747B97"/>
    <w:rsid w:val="00747D82"/>
    <w:rsid w:val="00747EF3"/>
    <w:rsid w:val="00747FD6"/>
    <w:rsid w:val="0075048B"/>
    <w:rsid w:val="00750526"/>
    <w:rsid w:val="007508B3"/>
    <w:rsid w:val="00750A5B"/>
    <w:rsid w:val="007517A3"/>
    <w:rsid w:val="00752356"/>
    <w:rsid w:val="00752610"/>
    <w:rsid w:val="00752E7E"/>
    <w:rsid w:val="00754250"/>
    <w:rsid w:val="00754A4F"/>
    <w:rsid w:val="0075502B"/>
    <w:rsid w:val="00755C0C"/>
    <w:rsid w:val="00755D16"/>
    <w:rsid w:val="0075649C"/>
    <w:rsid w:val="00756FC3"/>
    <w:rsid w:val="00757323"/>
    <w:rsid w:val="00757343"/>
    <w:rsid w:val="00760DD0"/>
    <w:rsid w:val="00761513"/>
    <w:rsid w:val="0076238E"/>
    <w:rsid w:val="007633F4"/>
    <w:rsid w:val="00763854"/>
    <w:rsid w:val="00763D37"/>
    <w:rsid w:val="007641BB"/>
    <w:rsid w:val="007642F9"/>
    <w:rsid w:val="00764938"/>
    <w:rsid w:val="00764C50"/>
    <w:rsid w:val="007650FF"/>
    <w:rsid w:val="00765E28"/>
    <w:rsid w:val="00765ED5"/>
    <w:rsid w:val="007660ED"/>
    <w:rsid w:val="0076645B"/>
    <w:rsid w:val="00766786"/>
    <w:rsid w:val="00767F50"/>
    <w:rsid w:val="0077020B"/>
    <w:rsid w:val="00770631"/>
    <w:rsid w:val="00770BDF"/>
    <w:rsid w:val="007725A2"/>
    <w:rsid w:val="00772A61"/>
    <w:rsid w:val="00772C26"/>
    <w:rsid w:val="00773414"/>
    <w:rsid w:val="00773F25"/>
    <w:rsid w:val="0077453D"/>
    <w:rsid w:val="0077455D"/>
    <w:rsid w:val="0077476E"/>
    <w:rsid w:val="0077580D"/>
    <w:rsid w:val="00776025"/>
    <w:rsid w:val="0077612C"/>
    <w:rsid w:val="007764D8"/>
    <w:rsid w:val="007767E7"/>
    <w:rsid w:val="0077696A"/>
    <w:rsid w:val="00776C10"/>
    <w:rsid w:val="00776FBE"/>
    <w:rsid w:val="0077711B"/>
    <w:rsid w:val="00777A45"/>
    <w:rsid w:val="00777DF1"/>
    <w:rsid w:val="00777F47"/>
    <w:rsid w:val="00777F49"/>
    <w:rsid w:val="00780527"/>
    <w:rsid w:val="007808E9"/>
    <w:rsid w:val="00780ED6"/>
    <w:rsid w:val="00781A24"/>
    <w:rsid w:val="007821D8"/>
    <w:rsid w:val="00784097"/>
    <w:rsid w:val="0078477D"/>
    <w:rsid w:val="00784798"/>
    <w:rsid w:val="007854D4"/>
    <w:rsid w:val="00786B50"/>
    <w:rsid w:val="00786C4A"/>
    <w:rsid w:val="0078760F"/>
    <w:rsid w:val="00787FA1"/>
    <w:rsid w:val="0079027C"/>
    <w:rsid w:val="007903A5"/>
    <w:rsid w:val="00790F5A"/>
    <w:rsid w:val="007912D2"/>
    <w:rsid w:val="00791B92"/>
    <w:rsid w:val="00792EC6"/>
    <w:rsid w:val="00793973"/>
    <w:rsid w:val="00793C93"/>
    <w:rsid w:val="00793EA7"/>
    <w:rsid w:val="007942EB"/>
    <w:rsid w:val="00794A13"/>
    <w:rsid w:val="00794CDC"/>
    <w:rsid w:val="00794EBE"/>
    <w:rsid w:val="00795532"/>
    <w:rsid w:val="007956FD"/>
    <w:rsid w:val="007959FF"/>
    <w:rsid w:val="00795F40"/>
    <w:rsid w:val="007966CF"/>
    <w:rsid w:val="0079750C"/>
    <w:rsid w:val="00797CB2"/>
    <w:rsid w:val="007A079D"/>
    <w:rsid w:val="007A10FA"/>
    <w:rsid w:val="007A1D0B"/>
    <w:rsid w:val="007A2096"/>
    <w:rsid w:val="007A209E"/>
    <w:rsid w:val="007A32DD"/>
    <w:rsid w:val="007A34AE"/>
    <w:rsid w:val="007A42A7"/>
    <w:rsid w:val="007A430C"/>
    <w:rsid w:val="007A5EA0"/>
    <w:rsid w:val="007A646F"/>
    <w:rsid w:val="007A7188"/>
    <w:rsid w:val="007A7779"/>
    <w:rsid w:val="007A79A2"/>
    <w:rsid w:val="007A7BA9"/>
    <w:rsid w:val="007B07C4"/>
    <w:rsid w:val="007B1C08"/>
    <w:rsid w:val="007B1C1B"/>
    <w:rsid w:val="007B239A"/>
    <w:rsid w:val="007B2C56"/>
    <w:rsid w:val="007B3592"/>
    <w:rsid w:val="007B4066"/>
    <w:rsid w:val="007B4587"/>
    <w:rsid w:val="007B57BE"/>
    <w:rsid w:val="007B5FFB"/>
    <w:rsid w:val="007B64EC"/>
    <w:rsid w:val="007B66C6"/>
    <w:rsid w:val="007B675F"/>
    <w:rsid w:val="007B7874"/>
    <w:rsid w:val="007B7DEB"/>
    <w:rsid w:val="007C01EB"/>
    <w:rsid w:val="007C073A"/>
    <w:rsid w:val="007C1227"/>
    <w:rsid w:val="007C1EDA"/>
    <w:rsid w:val="007C266B"/>
    <w:rsid w:val="007C3B57"/>
    <w:rsid w:val="007C5134"/>
    <w:rsid w:val="007C54D4"/>
    <w:rsid w:val="007C5668"/>
    <w:rsid w:val="007C56DA"/>
    <w:rsid w:val="007C56E9"/>
    <w:rsid w:val="007C620D"/>
    <w:rsid w:val="007C64CC"/>
    <w:rsid w:val="007C6A1F"/>
    <w:rsid w:val="007D0366"/>
    <w:rsid w:val="007D050D"/>
    <w:rsid w:val="007D075B"/>
    <w:rsid w:val="007D0C99"/>
    <w:rsid w:val="007D1BED"/>
    <w:rsid w:val="007D1D5E"/>
    <w:rsid w:val="007D2C54"/>
    <w:rsid w:val="007D4100"/>
    <w:rsid w:val="007D587E"/>
    <w:rsid w:val="007D590D"/>
    <w:rsid w:val="007D67D9"/>
    <w:rsid w:val="007D6ADF"/>
    <w:rsid w:val="007D73F6"/>
    <w:rsid w:val="007D7864"/>
    <w:rsid w:val="007E0186"/>
    <w:rsid w:val="007E048D"/>
    <w:rsid w:val="007E09CF"/>
    <w:rsid w:val="007E0A86"/>
    <w:rsid w:val="007E1B21"/>
    <w:rsid w:val="007E1D1D"/>
    <w:rsid w:val="007E1F37"/>
    <w:rsid w:val="007E21F4"/>
    <w:rsid w:val="007E25F5"/>
    <w:rsid w:val="007E3161"/>
    <w:rsid w:val="007E3CB9"/>
    <w:rsid w:val="007E3EFA"/>
    <w:rsid w:val="007E4696"/>
    <w:rsid w:val="007E46C0"/>
    <w:rsid w:val="007E4E5D"/>
    <w:rsid w:val="007E533B"/>
    <w:rsid w:val="007E548D"/>
    <w:rsid w:val="007E5C21"/>
    <w:rsid w:val="007E627F"/>
    <w:rsid w:val="007E6BE7"/>
    <w:rsid w:val="007E753C"/>
    <w:rsid w:val="007F0629"/>
    <w:rsid w:val="007F084A"/>
    <w:rsid w:val="007F0FC4"/>
    <w:rsid w:val="007F1108"/>
    <w:rsid w:val="007F179F"/>
    <w:rsid w:val="007F1B29"/>
    <w:rsid w:val="007F2F07"/>
    <w:rsid w:val="007F3546"/>
    <w:rsid w:val="007F4AD0"/>
    <w:rsid w:val="007F5563"/>
    <w:rsid w:val="007F6790"/>
    <w:rsid w:val="007F7C30"/>
    <w:rsid w:val="0080299F"/>
    <w:rsid w:val="00802B2D"/>
    <w:rsid w:val="00802B47"/>
    <w:rsid w:val="00802DB6"/>
    <w:rsid w:val="00802E86"/>
    <w:rsid w:val="008031A9"/>
    <w:rsid w:val="00803508"/>
    <w:rsid w:val="00803BDF"/>
    <w:rsid w:val="00804AE4"/>
    <w:rsid w:val="00804D1D"/>
    <w:rsid w:val="00805A87"/>
    <w:rsid w:val="00806607"/>
    <w:rsid w:val="00806AB2"/>
    <w:rsid w:val="00806C3A"/>
    <w:rsid w:val="00807466"/>
    <w:rsid w:val="00807CEB"/>
    <w:rsid w:val="00807EF6"/>
    <w:rsid w:val="008116BB"/>
    <w:rsid w:val="00811AB7"/>
    <w:rsid w:val="00811CBE"/>
    <w:rsid w:val="0081288E"/>
    <w:rsid w:val="008129CC"/>
    <w:rsid w:val="00812E92"/>
    <w:rsid w:val="008134E9"/>
    <w:rsid w:val="00813EA1"/>
    <w:rsid w:val="008146B7"/>
    <w:rsid w:val="00814FFF"/>
    <w:rsid w:val="008150EC"/>
    <w:rsid w:val="00816933"/>
    <w:rsid w:val="00816F91"/>
    <w:rsid w:val="00816FD5"/>
    <w:rsid w:val="008178CE"/>
    <w:rsid w:val="00817EBF"/>
    <w:rsid w:val="00821440"/>
    <w:rsid w:val="008214AF"/>
    <w:rsid w:val="008214C4"/>
    <w:rsid w:val="008218C4"/>
    <w:rsid w:val="00821A46"/>
    <w:rsid w:val="008229BA"/>
    <w:rsid w:val="00822C82"/>
    <w:rsid w:val="0082300C"/>
    <w:rsid w:val="008233B1"/>
    <w:rsid w:val="008235D0"/>
    <w:rsid w:val="00823A72"/>
    <w:rsid w:val="0082609E"/>
    <w:rsid w:val="008261BB"/>
    <w:rsid w:val="008267DB"/>
    <w:rsid w:val="008275F0"/>
    <w:rsid w:val="008276D8"/>
    <w:rsid w:val="00827803"/>
    <w:rsid w:val="00827D99"/>
    <w:rsid w:val="00830854"/>
    <w:rsid w:val="00830BE7"/>
    <w:rsid w:val="00830C8C"/>
    <w:rsid w:val="00830CEA"/>
    <w:rsid w:val="00831CD8"/>
    <w:rsid w:val="00831E48"/>
    <w:rsid w:val="008321BA"/>
    <w:rsid w:val="00832855"/>
    <w:rsid w:val="00832C3A"/>
    <w:rsid w:val="00832C40"/>
    <w:rsid w:val="00833246"/>
    <w:rsid w:val="00833264"/>
    <w:rsid w:val="0083374B"/>
    <w:rsid w:val="0083391D"/>
    <w:rsid w:val="008348B4"/>
    <w:rsid w:val="0083537A"/>
    <w:rsid w:val="008357D6"/>
    <w:rsid w:val="008357DC"/>
    <w:rsid w:val="008361F3"/>
    <w:rsid w:val="008363BA"/>
    <w:rsid w:val="0083662A"/>
    <w:rsid w:val="00836818"/>
    <w:rsid w:val="008405E7"/>
    <w:rsid w:val="00840936"/>
    <w:rsid w:val="00841264"/>
    <w:rsid w:val="008419F1"/>
    <w:rsid w:val="00841E43"/>
    <w:rsid w:val="00842F96"/>
    <w:rsid w:val="00843E57"/>
    <w:rsid w:val="00844677"/>
    <w:rsid w:val="00844ACA"/>
    <w:rsid w:val="008458A1"/>
    <w:rsid w:val="008462B5"/>
    <w:rsid w:val="00846711"/>
    <w:rsid w:val="00846741"/>
    <w:rsid w:val="00847293"/>
    <w:rsid w:val="00847A22"/>
    <w:rsid w:val="00850E8E"/>
    <w:rsid w:val="00850EBA"/>
    <w:rsid w:val="00851149"/>
    <w:rsid w:val="00852528"/>
    <w:rsid w:val="008525EF"/>
    <w:rsid w:val="00853188"/>
    <w:rsid w:val="008537B3"/>
    <w:rsid w:val="00854173"/>
    <w:rsid w:val="00854720"/>
    <w:rsid w:val="00854E2E"/>
    <w:rsid w:val="00854F20"/>
    <w:rsid w:val="008554EA"/>
    <w:rsid w:val="008555F0"/>
    <w:rsid w:val="0085663A"/>
    <w:rsid w:val="0085722F"/>
    <w:rsid w:val="008577EF"/>
    <w:rsid w:val="00857B6B"/>
    <w:rsid w:val="00857D2E"/>
    <w:rsid w:val="00860682"/>
    <w:rsid w:val="008614EE"/>
    <w:rsid w:val="0086169A"/>
    <w:rsid w:val="00861BFA"/>
    <w:rsid w:val="00861D66"/>
    <w:rsid w:val="00862190"/>
    <w:rsid w:val="00862776"/>
    <w:rsid w:val="00863455"/>
    <w:rsid w:val="00863C4E"/>
    <w:rsid w:val="00863CFE"/>
    <w:rsid w:val="0086440D"/>
    <w:rsid w:val="0086489D"/>
    <w:rsid w:val="008649E1"/>
    <w:rsid w:val="00864F05"/>
    <w:rsid w:val="0086592D"/>
    <w:rsid w:val="00865FCA"/>
    <w:rsid w:val="008666B6"/>
    <w:rsid w:val="00867438"/>
    <w:rsid w:val="00867FD2"/>
    <w:rsid w:val="008701C6"/>
    <w:rsid w:val="008701D5"/>
    <w:rsid w:val="0087085A"/>
    <w:rsid w:val="00870A92"/>
    <w:rsid w:val="0087118C"/>
    <w:rsid w:val="00871B21"/>
    <w:rsid w:val="00871E3D"/>
    <w:rsid w:val="0087289C"/>
    <w:rsid w:val="00872C32"/>
    <w:rsid w:val="008732EF"/>
    <w:rsid w:val="0087348B"/>
    <w:rsid w:val="00873C17"/>
    <w:rsid w:val="00874097"/>
    <w:rsid w:val="008742EB"/>
    <w:rsid w:val="008743EC"/>
    <w:rsid w:val="00875C83"/>
    <w:rsid w:val="00876079"/>
    <w:rsid w:val="00876A66"/>
    <w:rsid w:val="00877A32"/>
    <w:rsid w:val="008800CA"/>
    <w:rsid w:val="00880118"/>
    <w:rsid w:val="0088021D"/>
    <w:rsid w:val="0088055F"/>
    <w:rsid w:val="008811F8"/>
    <w:rsid w:val="008819F6"/>
    <w:rsid w:val="00881DFD"/>
    <w:rsid w:val="00881EA1"/>
    <w:rsid w:val="00882263"/>
    <w:rsid w:val="008822B6"/>
    <w:rsid w:val="008823CF"/>
    <w:rsid w:val="00883394"/>
    <w:rsid w:val="00883BA0"/>
    <w:rsid w:val="00883D67"/>
    <w:rsid w:val="008844AD"/>
    <w:rsid w:val="00884B7B"/>
    <w:rsid w:val="008854CE"/>
    <w:rsid w:val="008855EF"/>
    <w:rsid w:val="00885792"/>
    <w:rsid w:val="0088596C"/>
    <w:rsid w:val="00885A88"/>
    <w:rsid w:val="00886421"/>
    <w:rsid w:val="0088696A"/>
    <w:rsid w:val="00886A44"/>
    <w:rsid w:val="00886C18"/>
    <w:rsid w:val="00887379"/>
    <w:rsid w:val="00890451"/>
    <w:rsid w:val="0089173A"/>
    <w:rsid w:val="00892627"/>
    <w:rsid w:val="00892AD8"/>
    <w:rsid w:val="00892EB2"/>
    <w:rsid w:val="0089317F"/>
    <w:rsid w:val="00893970"/>
    <w:rsid w:val="00893EDE"/>
    <w:rsid w:val="00894706"/>
    <w:rsid w:val="00894F9E"/>
    <w:rsid w:val="00896581"/>
    <w:rsid w:val="0089672B"/>
    <w:rsid w:val="00896F78"/>
    <w:rsid w:val="008970F9"/>
    <w:rsid w:val="0089710F"/>
    <w:rsid w:val="008977E8"/>
    <w:rsid w:val="00897D61"/>
    <w:rsid w:val="00897EBA"/>
    <w:rsid w:val="00897EFF"/>
    <w:rsid w:val="008A0664"/>
    <w:rsid w:val="008A0FAC"/>
    <w:rsid w:val="008A1544"/>
    <w:rsid w:val="008A1580"/>
    <w:rsid w:val="008A1F08"/>
    <w:rsid w:val="008A24B6"/>
    <w:rsid w:val="008A24E2"/>
    <w:rsid w:val="008A35D6"/>
    <w:rsid w:val="008A3771"/>
    <w:rsid w:val="008A3902"/>
    <w:rsid w:val="008A3B7C"/>
    <w:rsid w:val="008A419F"/>
    <w:rsid w:val="008A4536"/>
    <w:rsid w:val="008A4A7F"/>
    <w:rsid w:val="008A4D67"/>
    <w:rsid w:val="008A4DA5"/>
    <w:rsid w:val="008A5751"/>
    <w:rsid w:val="008A601E"/>
    <w:rsid w:val="008A6918"/>
    <w:rsid w:val="008B010A"/>
    <w:rsid w:val="008B0833"/>
    <w:rsid w:val="008B1F03"/>
    <w:rsid w:val="008B2268"/>
    <w:rsid w:val="008B261D"/>
    <w:rsid w:val="008B297D"/>
    <w:rsid w:val="008B2E78"/>
    <w:rsid w:val="008B3BAE"/>
    <w:rsid w:val="008B5109"/>
    <w:rsid w:val="008B5AED"/>
    <w:rsid w:val="008B6D1A"/>
    <w:rsid w:val="008B6EA9"/>
    <w:rsid w:val="008B796B"/>
    <w:rsid w:val="008B7BB4"/>
    <w:rsid w:val="008C0D18"/>
    <w:rsid w:val="008C171B"/>
    <w:rsid w:val="008C1D78"/>
    <w:rsid w:val="008C2608"/>
    <w:rsid w:val="008C27BB"/>
    <w:rsid w:val="008C34C2"/>
    <w:rsid w:val="008C3AF3"/>
    <w:rsid w:val="008C3EF9"/>
    <w:rsid w:val="008C461D"/>
    <w:rsid w:val="008C4F24"/>
    <w:rsid w:val="008C540F"/>
    <w:rsid w:val="008C55C2"/>
    <w:rsid w:val="008C5C18"/>
    <w:rsid w:val="008C60B2"/>
    <w:rsid w:val="008C61CB"/>
    <w:rsid w:val="008C6C61"/>
    <w:rsid w:val="008D0519"/>
    <w:rsid w:val="008D1240"/>
    <w:rsid w:val="008D18BF"/>
    <w:rsid w:val="008D1B7C"/>
    <w:rsid w:val="008D1EAF"/>
    <w:rsid w:val="008D2CF4"/>
    <w:rsid w:val="008D2F67"/>
    <w:rsid w:val="008D4068"/>
    <w:rsid w:val="008D4084"/>
    <w:rsid w:val="008D4DC6"/>
    <w:rsid w:val="008D61E3"/>
    <w:rsid w:val="008D627F"/>
    <w:rsid w:val="008D6715"/>
    <w:rsid w:val="008D7782"/>
    <w:rsid w:val="008D787E"/>
    <w:rsid w:val="008D78CF"/>
    <w:rsid w:val="008D79D8"/>
    <w:rsid w:val="008D7E12"/>
    <w:rsid w:val="008D7FEB"/>
    <w:rsid w:val="008E0127"/>
    <w:rsid w:val="008E0572"/>
    <w:rsid w:val="008E2CED"/>
    <w:rsid w:val="008E2EF3"/>
    <w:rsid w:val="008E3208"/>
    <w:rsid w:val="008E3AD8"/>
    <w:rsid w:val="008E3CF5"/>
    <w:rsid w:val="008E4221"/>
    <w:rsid w:val="008E4335"/>
    <w:rsid w:val="008E5840"/>
    <w:rsid w:val="008E5D1F"/>
    <w:rsid w:val="008E6863"/>
    <w:rsid w:val="008E757D"/>
    <w:rsid w:val="008E7965"/>
    <w:rsid w:val="008F0E1C"/>
    <w:rsid w:val="008F0F67"/>
    <w:rsid w:val="008F12F3"/>
    <w:rsid w:val="008F222F"/>
    <w:rsid w:val="008F23A8"/>
    <w:rsid w:val="008F29AF"/>
    <w:rsid w:val="008F3798"/>
    <w:rsid w:val="008F41D2"/>
    <w:rsid w:val="008F5026"/>
    <w:rsid w:val="008F5409"/>
    <w:rsid w:val="008F5FF7"/>
    <w:rsid w:val="008F6528"/>
    <w:rsid w:val="008F66A2"/>
    <w:rsid w:val="008F6EE3"/>
    <w:rsid w:val="008F7018"/>
    <w:rsid w:val="00900085"/>
    <w:rsid w:val="00900992"/>
    <w:rsid w:val="00900EB4"/>
    <w:rsid w:val="009011DF"/>
    <w:rsid w:val="00901C40"/>
    <w:rsid w:val="009034BF"/>
    <w:rsid w:val="00904016"/>
    <w:rsid w:val="00904355"/>
    <w:rsid w:val="00904843"/>
    <w:rsid w:val="0090557C"/>
    <w:rsid w:val="009057E2"/>
    <w:rsid w:val="0090611C"/>
    <w:rsid w:val="00907005"/>
    <w:rsid w:val="00907370"/>
    <w:rsid w:val="009073D2"/>
    <w:rsid w:val="0090742F"/>
    <w:rsid w:val="0091099F"/>
    <w:rsid w:val="00910A84"/>
    <w:rsid w:val="00910A98"/>
    <w:rsid w:val="009112D8"/>
    <w:rsid w:val="00912096"/>
    <w:rsid w:val="00913359"/>
    <w:rsid w:val="00913545"/>
    <w:rsid w:val="00913FDF"/>
    <w:rsid w:val="00914FED"/>
    <w:rsid w:val="0091516C"/>
    <w:rsid w:val="00915675"/>
    <w:rsid w:val="00915786"/>
    <w:rsid w:val="009157C3"/>
    <w:rsid w:val="00915D90"/>
    <w:rsid w:val="009166E9"/>
    <w:rsid w:val="00916971"/>
    <w:rsid w:val="00916D52"/>
    <w:rsid w:val="00916D58"/>
    <w:rsid w:val="0092022A"/>
    <w:rsid w:val="0092067A"/>
    <w:rsid w:val="00921021"/>
    <w:rsid w:val="00922434"/>
    <w:rsid w:val="0092275E"/>
    <w:rsid w:val="00922929"/>
    <w:rsid w:val="009229F7"/>
    <w:rsid w:val="00922DE0"/>
    <w:rsid w:val="0092384C"/>
    <w:rsid w:val="00923943"/>
    <w:rsid w:val="009240D8"/>
    <w:rsid w:val="009242E5"/>
    <w:rsid w:val="00926C91"/>
    <w:rsid w:val="00927225"/>
    <w:rsid w:val="00927F06"/>
    <w:rsid w:val="009300A6"/>
    <w:rsid w:val="00930841"/>
    <w:rsid w:val="00931211"/>
    <w:rsid w:val="00931D6A"/>
    <w:rsid w:val="0093303F"/>
    <w:rsid w:val="009341D1"/>
    <w:rsid w:val="00934A2F"/>
    <w:rsid w:val="00935193"/>
    <w:rsid w:val="00937E69"/>
    <w:rsid w:val="009401B2"/>
    <w:rsid w:val="00940589"/>
    <w:rsid w:val="00941299"/>
    <w:rsid w:val="00941D9F"/>
    <w:rsid w:val="0094216A"/>
    <w:rsid w:val="009424B4"/>
    <w:rsid w:val="0094271D"/>
    <w:rsid w:val="00943305"/>
    <w:rsid w:val="0094515D"/>
    <w:rsid w:val="009452BE"/>
    <w:rsid w:val="0094539D"/>
    <w:rsid w:val="0094604A"/>
    <w:rsid w:val="00947D94"/>
    <w:rsid w:val="0095037E"/>
    <w:rsid w:val="0095148F"/>
    <w:rsid w:val="009516D5"/>
    <w:rsid w:val="009516F8"/>
    <w:rsid w:val="00951753"/>
    <w:rsid w:val="00951828"/>
    <w:rsid w:val="0095262A"/>
    <w:rsid w:val="00953E75"/>
    <w:rsid w:val="00954D5F"/>
    <w:rsid w:val="00954F14"/>
    <w:rsid w:val="00954F5E"/>
    <w:rsid w:val="00955680"/>
    <w:rsid w:val="0095603A"/>
    <w:rsid w:val="009560D8"/>
    <w:rsid w:val="009576AD"/>
    <w:rsid w:val="00957EC9"/>
    <w:rsid w:val="00960F40"/>
    <w:rsid w:val="00961429"/>
    <w:rsid w:val="009615D9"/>
    <w:rsid w:val="00962744"/>
    <w:rsid w:val="00962AD5"/>
    <w:rsid w:val="009631ED"/>
    <w:rsid w:val="00963C05"/>
    <w:rsid w:val="00964021"/>
    <w:rsid w:val="009640C3"/>
    <w:rsid w:val="00964425"/>
    <w:rsid w:val="0096447B"/>
    <w:rsid w:val="0096478F"/>
    <w:rsid w:val="00965252"/>
    <w:rsid w:val="0096556B"/>
    <w:rsid w:val="009657F3"/>
    <w:rsid w:val="0096593D"/>
    <w:rsid w:val="00965FD4"/>
    <w:rsid w:val="00966124"/>
    <w:rsid w:val="00966CD8"/>
    <w:rsid w:val="009677B1"/>
    <w:rsid w:val="009677BC"/>
    <w:rsid w:val="00967859"/>
    <w:rsid w:val="0096795C"/>
    <w:rsid w:val="009708AD"/>
    <w:rsid w:val="00970CE9"/>
    <w:rsid w:val="009715C9"/>
    <w:rsid w:val="009715E8"/>
    <w:rsid w:val="009718C7"/>
    <w:rsid w:val="00971E32"/>
    <w:rsid w:val="00972621"/>
    <w:rsid w:val="009741E1"/>
    <w:rsid w:val="009744FA"/>
    <w:rsid w:val="0097507F"/>
    <w:rsid w:val="00975201"/>
    <w:rsid w:val="009756E0"/>
    <w:rsid w:val="00975C44"/>
    <w:rsid w:val="00975DDE"/>
    <w:rsid w:val="00976AE6"/>
    <w:rsid w:val="00976F63"/>
    <w:rsid w:val="0097756C"/>
    <w:rsid w:val="00977DA9"/>
    <w:rsid w:val="00980D88"/>
    <w:rsid w:val="00980E04"/>
    <w:rsid w:val="00981801"/>
    <w:rsid w:val="00981955"/>
    <w:rsid w:val="00981B85"/>
    <w:rsid w:val="00981E23"/>
    <w:rsid w:val="0098215E"/>
    <w:rsid w:val="009829D6"/>
    <w:rsid w:val="00983021"/>
    <w:rsid w:val="00984AC0"/>
    <w:rsid w:val="00986639"/>
    <w:rsid w:val="009866CA"/>
    <w:rsid w:val="00986DE5"/>
    <w:rsid w:val="009902A4"/>
    <w:rsid w:val="00990543"/>
    <w:rsid w:val="009917EF"/>
    <w:rsid w:val="0099203B"/>
    <w:rsid w:val="0099244B"/>
    <w:rsid w:val="00992554"/>
    <w:rsid w:val="009926A8"/>
    <w:rsid w:val="009940CB"/>
    <w:rsid w:val="009951BB"/>
    <w:rsid w:val="0099530F"/>
    <w:rsid w:val="00995369"/>
    <w:rsid w:val="00995C0F"/>
    <w:rsid w:val="009965D9"/>
    <w:rsid w:val="00996BCF"/>
    <w:rsid w:val="00997A4E"/>
    <w:rsid w:val="009A04AB"/>
    <w:rsid w:val="009A131A"/>
    <w:rsid w:val="009A1740"/>
    <w:rsid w:val="009A193C"/>
    <w:rsid w:val="009A1A13"/>
    <w:rsid w:val="009A1E16"/>
    <w:rsid w:val="009A1EC5"/>
    <w:rsid w:val="009A2A00"/>
    <w:rsid w:val="009A3B4B"/>
    <w:rsid w:val="009A3B59"/>
    <w:rsid w:val="009A5FFE"/>
    <w:rsid w:val="009A6229"/>
    <w:rsid w:val="009A6792"/>
    <w:rsid w:val="009A6978"/>
    <w:rsid w:val="009A724B"/>
    <w:rsid w:val="009A7298"/>
    <w:rsid w:val="009A749F"/>
    <w:rsid w:val="009A7AE7"/>
    <w:rsid w:val="009A7D67"/>
    <w:rsid w:val="009B046A"/>
    <w:rsid w:val="009B088B"/>
    <w:rsid w:val="009B0C92"/>
    <w:rsid w:val="009B0E17"/>
    <w:rsid w:val="009B1992"/>
    <w:rsid w:val="009B1E20"/>
    <w:rsid w:val="009B2460"/>
    <w:rsid w:val="009B2BEC"/>
    <w:rsid w:val="009B2D1F"/>
    <w:rsid w:val="009B2F35"/>
    <w:rsid w:val="009B35D2"/>
    <w:rsid w:val="009B38B3"/>
    <w:rsid w:val="009B39B2"/>
    <w:rsid w:val="009B5A59"/>
    <w:rsid w:val="009B624F"/>
    <w:rsid w:val="009B62AA"/>
    <w:rsid w:val="009B663E"/>
    <w:rsid w:val="009B6880"/>
    <w:rsid w:val="009B6A62"/>
    <w:rsid w:val="009B6E28"/>
    <w:rsid w:val="009B7063"/>
    <w:rsid w:val="009B70AF"/>
    <w:rsid w:val="009B784B"/>
    <w:rsid w:val="009B7AF1"/>
    <w:rsid w:val="009C0672"/>
    <w:rsid w:val="009C212E"/>
    <w:rsid w:val="009C2595"/>
    <w:rsid w:val="009C2C4E"/>
    <w:rsid w:val="009C3295"/>
    <w:rsid w:val="009C479B"/>
    <w:rsid w:val="009C53B5"/>
    <w:rsid w:val="009C58DD"/>
    <w:rsid w:val="009C5D87"/>
    <w:rsid w:val="009C6B36"/>
    <w:rsid w:val="009C7C1F"/>
    <w:rsid w:val="009C7D67"/>
    <w:rsid w:val="009C7D80"/>
    <w:rsid w:val="009C7E09"/>
    <w:rsid w:val="009D0907"/>
    <w:rsid w:val="009D0E0A"/>
    <w:rsid w:val="009D15E1"/>
    <w:rsid w:val="009D26B6"/>
    <w:rsid w:val="009D289D"/>
    <w:rsid w:val="009D2BC7"/>
    <w:rsid w:val="009D3CEB"/>
    <w:rsid w:val="009D3F35"/>
    <w:rsid w:val="009D49DB"/>
    <w:rsid w:val="009D4C01"/>
    <w:rsid w:val="009D5414"/>
    <w:rsid w:val="009D6197"/>
    <w:rsid w:val="009D66EE"/>
    <w:rsid w:val="009D6734"/>
    <w:rsid w:val="009D7784"/>
    <w:rsid w:val="009D7873"/>
    <w:rsid w:val="009D7E8B"/>
    <w:rsid w:val="009E03D1"/>
    <w:rsid w:val="009E083F"/>
    <w:rsid w:val="009E0E2D"/>
    <w:rsid w:val="009E17E6"/>
    <w:rsid w:val="009E18CB"/>
    <w:rsid w:val="009E20AF"/>
    <w:rsid w:val="009E2B99"/>
    <w:rsid w:val="009E2FDA"/>
    <w:rsid w:val="009E46A2"/>
    <w:rsid w:val="009E5505"/>
    <w:rsid w:val="009E5619"/>
    <w:rsid w:val="009E5F01"/>
    <w:rsid w:val="009E6107"/>
    <w:rsid w:val="009E742F"/>
    <w:rsid w:val="009E7954"/>
    <w:rsid w:val="009E7C32"/>
    <w:rsid w:val="009E7EF6"/>
    <w:rsid w:val="009F0238"/>
    <w:rsid w:val="009F0449"/>
    <w:rsid w:val="009F0482"/>
    <w:rsid w:val="009F0A63"/>
    <w:rsid w:val="009F1758"/>
    <w:rsid w:val="009F18F6"/>
    <w:rsid w:val="009F26B6"/>
    <w:rsid w:val="009F3418"/>
    <w:rsid w:val="009F426C"/>
    <w:rsid w:val="009F49EE"/>
    <w:rsid w:val="009F49F4"/>
    <w:rsid w:val="009F6CC0"/>
    <w:rsid w:val="009F6E4C"/>
    <w:rsid w:val="009F76FE"/>
    <w:rsid w:val="00A001EA"/>
    <w:rsid w:val="00A007D9"/>
    <w:rsid w:val="00A00814"/>
    <w:rsid w:val="00A00F13"/>
    <w:rsid w:val="00A01081"/>
    <w:rsid w:val="00A013B5"/>
    <w:rsid w:val="00A017F3"/>
    <w:rsid w:val="00A02F18"/>
    <w:rsid w:val="00A03A5F"/>
    <w:rsid w:val="00A040F8"/>
    <w:rsid w:val="00A045DC"/>
    <w:rsid w:val="00A051C1"/>
    <w:rsid w:val="00A05879"/>
    <w:rsid w:val="00A065C4"/>
    <w:rsid w:val="00A101AB"/>
    <w:rsid w:val="00A10C69"/>
    <w:rsid w:val="00A128A7"/>
    <w:rsid w:val="00A129D9"/>
    <w:rsid w:val="00A12DBD"/>
    <w:rsid w:val="00A14121"/>
    <w:rsid w:val="00A147BB"/>
    <w:rsid w:val="00A14895"/>
    <w:rsid w:val="00A148AD"/>
    <w:rsid w:val="00A14AB5"/>
    <w:rsid w:val="00A15473"/>
    <w:rsid w:val="00A159E2"/>
    <w:rsid w:val="00A16871"/>
    <w:rsid w:val="00A16C57"/>
    <w:rsid w:val="00A2024D"/>
    <w:rsid w:val="00A21486"/>
    <w:rsid w:val="00A21943"/>
    <w:rsid w:val="00A21E50"/>
    <w:rsid w:val="00A22047"/>
    <w:rsid w:val="00A222FF"/>
    <w:rsid w:val="00A2246B"/>
    <w:rsid w:val="00A22B3A"/>
    <w:rsid w:val="00A22C87"/>
    <w:rsid w:val="00A22F18"/>
    <w:rsid w:val="00A23AF0"/>
    <w:rsid w:val="00A2477F"/>
    <w:rsid w:val="00A24C96"/>
    <w:rsid w:val="00A25255"/>
    <w:rsid w:val="00A255C6"/>
    <w:rsid w:val="00A25E50"/>
    <w:rsid w:val="00A260A0"/>
    <w:rsid w:val="00A262CD"/>
    <w:rsid w:val="00A27AD9"/>
    <w:rsid w:val="00A27D42"/>
    <w:rsid w:val="00A27DC4"/>
    <w:rsid w:val="00A3027F"/>
    <w:rsid w:val="00A303B6"/>
    <w:rsid w:val="00A3063D"/>
    <w:rsid w:val="00A30A93"/>
    <w:rsid w:val="00A30F36"/>
    <w:rsid w:val="00A322BD"/>
    <w:rsid w:val="00A3250C"/>
    <w:rsid w:val="00A328C6"/>
    <w:rsid w:val="00A32B24"/>
    <w:rsid w:val="00A32D8C"/>
    <w:rsid w:val="00A3332D"/>
    <w:rsid w:val="00A3418C"/>
    <w:rsid w:val="00A35110"/>
    <w:rsid w:val="00A352A1"/>
    <w:rsid w:val="00A3585A"/>
    <w:rsid w:val="00A366D1"/>
    <w:rsid w:val="00A36909"/>
    <w:rsid w:val="00A37200"/>
    <w:rsid w:val="00A413AA"/>
    <w:rsid w:val="00A42DBC"/>
    <w:rsid w:val="00A438C6"/>
    <w:rsid w:val="00A439D5"/>
    <w:rsid w:val="00A4419E"/>
    <w:rsid w:val="00A443FF"/>
    <w:rsid w:val="00A447D3"/>
    <w:rsid w:val="00A44BB4"/>
    <w:rsid w:val="00A462A3"/>
    <w:rsid w:val="00A46380"/>
    <w:rsid w:val="00A46E1D"/>
    <w:rsid w:val="00A4713F"/>
    <w:rsid w:val="00A475DE"/>
    <w:rsid w:val="00A51B7A"/>
    <w:rsid w:val="00A52972"/>
    <w:rsid w:val="00A52FE3"/>
    <w:rsid w:val="00A536C2"/>
    <w:rsid w:val="00A53D99"/>
    <w:rsid w:val="00A54119"/>
    <w:rsid w:val="00A5423D"/>
    <w:rsid w:val="00A543A5"/>
    <w:rsid w:val="00A546F0"/>
    <w:rsid w:val="00A54733"/>
    <w:rsid w:val="00A54BE4"/>
    <w:rsid w:val="00A55B12"/>
    <w:rsid w:val="00A56034"/>
    <w:rsid w:val="00A56F79"/>
    <w:rsid w:val="00A601D1"/>
    <w:rsid w:val="00A607B4"/>
    <w:rsid w:val="00A60A5E"/>
    <w:rsid w:val="00A61804"/>
    <w:rsid w:val="00A61F2A"/>
    <w:rsid w:val="00A63761"/>
    <w:rsid w:val="00A6428E"/>
    <w:rsid w:val="00A649C7"/>
    <w:rsid w:val="00A64C25"/>
    <w:rsid w:val="00A65222"/>
    <w:rsid w:val="00A653E3"/>
    <w:rsid w:val="00A65ED5"/>
    <w:rsid w:val="00A665A7"/>
    <w:rsid w:val="00A66651"/>
    <w:rsid w:val="00A66805"/>
    <w:rsid w:val="00A672C2"/>
    <w:rsid w:val="00A70335"/>
    <w:rsid w:val="00A70659"/>
    <w:rsid w:val="00A70A09"/>
    <w:rsid w:val="00A70BC4"/>
    <w:rsid w:val="00A70F58"/>
    <w:rsid w:val="00A70F86"/>
    <w:rsid w:val="00A7179B"/>
    <w:rsid w:val="00A71A5F"/>
    <w:rsid w:val="00A71E6A"/>
    <w:rsid w:val="00A72050"/>
    <w:rsid w:val="00A72332"/>
    <w:rsid w:val="00A72850"/>
    <w:rsid w:val="00A7292D"/>
    <w:rsid w:val="00A7402B"/>
    <w:rsid w:val="00A7452C"/>
    <w:rsid w:val="00A748EC"/>
    <w:rsid w:val="00A74FED"/>
    <w:rsid w:val="00A75682"/>
    <w:rsid w:val="00A75BED"/>
    <w:rsid w:val="00A769F6"/>
    <w:rsid w:val="00A76F0E"/>
    <w:rsid w:val="00A77143"/>
    <w:rsid w:val="00A7764C"/>
    <w:rsid w:val="00A77B25"/>
    <w:rsid w:val="00A77F25"/>
    <w:rsid w:val="00A801A4"/>
    <w:rsid w:val="00A813AE"/>
    <w:rsid w:val="00A81BD3"/>
    <w:rsid w:val="00A81D48"/>
    <w:rsid w:val="00A82292"/>
    <w:rsid w:val="00A83080"/>
    <w:rsid w:val="00A830B6"/>
    <w:rsid w:val="00A835F3"/>
    <w:rsid w:val="00A83C22"/>
    <w:rsid w:val="00A8429C"/>
    <w:rsid w:val="00A845FA"/>
    <w:rsid w:val="00A84979"/>
    <w:rsid w:val="00A84B83"/>
    <w:rsid w:val="00A84E83"/>
    <w:rsid w:val="00A85041"/>
    <w:rsid w:val="00A85212"/>
    <w:rsid w:val="00A85A05"/>
    <w:rsid w:val="00A85EE1"/>
    <w:rsid w:val="00A87065"/>
    <w:rsid w:val="00A87E3A"/>
    <w:rsid w:val="00A9044E"/>
    <w:rsid w:val="00A911F7"/>
    <w:rsid w:val="00A9301F"/>
    <w:rsid w:val="00A93245"/>
    <w:rsid w:val="00A933B9"/>
    <w:rsid w:val="00A94C92"/>
    <w:rsid w:val="00A954C5"/>
    <w:rsid w:val="00A95644"/>
    <w:rsid w:val="00A95835"/>
    <w:rsid w:val="00A95D84"/>
    <w:rsid w:val="00A9603C"/>
    <w:rsid w:val="00A9622B"/>
    <w:rsid w:val="00A972FA"/>
    <w:rsid w:val="00A97612"/>
    <w:rsid w:val="00A9793C"/>
    <w:rsid w:val="00AA1166"/>
    <w:rsid w:val="00AA1F22"/>
    <w:rsid w:val="00AA2697"/>
    <w:rsid w:val="00AA3715"/>
    <w:rsid w:val="00AA45F6"/>
    <w:rsid w:val="00AA5573"/>
    <w:rsid w:val="00AA61C2"/>
    <w:rsid w:val="00AA627D"/>
    <w:rsid w:val="00AA651D"/>
    <w:rsid w:val="00AA69BE"/>
    <w:rsid w:val="00AA7C40"/>
    <w:rsid w:val="00AB090A"/>
    <w:rsid w:val="00AB0CF7"/>
    <w:rsid w:val="00AB0F8B"/>
    <w:rsid w:val="00AB1F56"/>
    <w:rsid w:val="00AB1F7F"/>
    <w:rsid w:val="00AB2F79"/>
    <w:rsid w:val="00AB367B"/>
    <w:rsid w:val="00AB4CD9"/>
    <w:rsid w:val="00AB4FED"/>
    <w:rsid w:val="00AB51EB"/>
    <w:rsid w:val="00AB54D0"/>
    <w:rsid w:val="00AB5EAA"/>
    <w:rsid w:val="00AB5FAE"/>
    <w:rsid w:val="00AB61F8"/>
    <w:rsid w:val="00AB7B22"/>
    <w:rsid w:val="00AC1586"/>
    <w:rsid w:val="00AC1E21"/>
    <w:rsid w:val="00AC1F0D"/>
    <w:rsid w:val="00AC3069"/>
    <w:rsid w:val="00AC47C2"/>
    <w:rsid w:val="00AC5143"/>
    <w:rsid w:val="00AC60AE"/>
    <w:rsid w:val="00AC683A"/>
    <w:rsid w:val="00AC6A60"/>
    <w:rsid w:val="00AC6AF7"/>
    <w:rsid w:val="00AC7463"/>
    <w:rsid w:val="00AC74AA"/>
    <w:rsid w:val="00AC7511"/>
    <w:rsid w:val="00AD093E"/>
    <w:rsid w:val="00AD0C9E"/>
    <w:rsid w:val="00AD109F"/>
    <w:rsid w:val="00AD1BAB"/>
    <w:rsid w:val="00AD2598"/>
    <w:rsid w:val="00AD29E8"/>
    <w:rsid w:val="00AD2DB3"/>
    <w:rsid w:val="00AD3299"/>
    <w:rsid w:val="00AD39A3"/>
    <w:rsid w:val="00AD4466"/>
    <w:rsid w:val="00AD47B6"/>
    <w:rsid w:val="00AD65AB"/>
    <w:rsid w:val="00AD67E8"/>
    <w:rsid w:val="00AE00A2"/>
    <w:rsid w:val="00AE0C14"/>
    <w:rsid w:val="00AE1347"/>
    <w:rsid w:val="00AE38D4"/>
    <w:rsid w:val="00AE423D"/>
    <w:rsid w:val="00AE54F6"/>
    <w:rsid w:val="00AE6AF6"/>
    <w:rsid w:val="00AE7144"/>
    <w:rsid w:val="00AE7711"/>
    <w:rsid w:val="00AE7B55"/>
    <w:rsid w:val="00AF0D66"/>
    <w:rsid w:val="00AF10AA"/>
    <w:rsid w:val="00AF137B"/>
    <w:rsid w:val="00AF2269"/>
    <w:rsid w:val="00AF25FE"/>
    <w:rsid w:val="00AF27C4"/>
    <w:rsid w:val="00AF3041"/>
    <w:rsid w:val="00AF31FD"/>
    <w:rsid w:val="00AF35A5"/>
    <w:rsid w:val="00AF47FF"/>
    <w:rsid w:val="00AF4A5E"/>
    <w:rsid w:val="00AF530F"/>
    <w:rsid w:val="00AF57B1"/>
    <w:rsid w:val="00AF5A65"/>
    <w:rsid w:val="00AF5AB7"/>
    <w:rsid w:val="00AF5C06"/>
    <w:rsid w:val="00AF63BB"/>
    <w:rsid w:val="00AF67EB"/>
    <w:rsid w:val="00AF697A"/>
    <w:rsid w:val="00AF72BE"/>
    <w:rsid w:val="00AF7EE3"/>
    <w:rsid w:val="00B00917"/>
    <w:rsid w:val="00B01B90"/>
    <w:rsid w:val="00B01E10"/>
    <w:rsid w:val="00B02125"/>
    <w:rsid w:val="00B0357D"/>
    <w:rsid w:val="00B0367E"/>
    <w:rsid w:val="00B03FBA"/>
    <w:rsid w:val="00B04D6E"/>
    <w:rsid w:val="00B04E1B"/>
    <w:rsid w:val="00B05AFA"/>
    <w:rsid w:val="00B066C6"/>
    <w:rsid w:val="00B079CC"/>
    <w:rsid w:val="00B07F89"/>
    <w:rsid w:val="00B108C5"/>
    <w:rsid w:val="00B115AE"/>
    <w:rsid w:val="00B11817"/>
    <w:rsid w:val="00B122D4"/>
    <w:rsid w:val="00B12375"/>
    <w:rsid w:val="00B13069"/>
    <w:rsid w:val="00B13339"/>
    <w:rsid w:val="00B140A8"/>
    <w:rsid w:val="00B15AB0"/>
    <w:rsid w:val="00B16BD2"/>
    <w:rsid w:val="00B16EF3"/>
    <w:rsid w:val="00B2004C"/>
    <w:rsid w:val="00B20411"/>
    <w:rsid w:val="00B20B6A"/>
    <w:rsid w:val="00B20C21"/>
    <w:rsid w:val="00B21D78"/>
    <w:rsid w:val="00B21FCF"/>
    <w:rsid w:val="00B22254"/>
    <w:rsid w:val="00B232A3"/>
    <w:rsid w:val="00B23557"/>
    <w:rsid w:val="00B23BF2"/>
    <w:rsid w:val="00B23D9F"/>
    <w:rsid w:val="00B24141"/>
    <w:rsid w:val="00B2416D"/>
    <w:rsid w:val="00B24C6B"/>
    <w:rsid w:val="00B24CEA"/>
    <w:rsid w:val="00B26539"/>
    <w:rsid w:val="00B2741F"/>
    <w:rsid w:val="00B2779A"/>
    <w:rsid w:val="00B278F5"/>
    <w:rsid w:val="00B27AAF"/>
    <w:rsid w:val="00B27ABF"/>
    <w:rsid w:val="00B307ED"/>
    <w:rsid w:val="00B30DA1"/>
    <w:rsid w:val="00B310AE"/>
    <w:rsid w:val="00B311C6"/>
    <w:rsid w:val="00B31BBC"/>
    <w:rsid w:val="00B3221F"/>
    <w:rsid w:val="00B34742"/>
    <w:rsid w:val="00B34A65"/>
    <w:rsid w:val="00B34B3E"/>
    <w:rsid w:val="00B34E56"/>
    <w:rsid w:val="00B34F8B"/>
    <w:rsid w:val="00B35463"/>
    <w:rsid w:val="00B356B1"/>
    <w:rsid w:val="00B35845"/>
    <w:rsid w:val="00B3584A"/>
    <w:rsid w:val="00B36379"/>
    <w:rsid w:val="00B371F1"/>
    <w:rsid w:val="00B4088D"/>
    <w:rsid w:val="00B40BE5"/>
    <w:rsid w:val="00B40CB4"/>
    <w:rsid w:val="00B415F3"/>
    <w:rsid w:val="00B4208C"/>
    <w:rsid w:val="00B42382"/>
    <w:rsid w:val="00B423C9"/>
    <w:rsid w:val="00B425C6"/>
    <w:rsid w:val="00B42AC8"/>
    <w:rsid w:val="00B437CB"/>
    <w:rsid w:val="00B44107"/>
    <w:rsid w:val="00B441B7"/>
    <w:rsid w:val="00B44267"/>
    <w:rsid w:val="00B44620"/>
    <w:rsid w:val="00B446CB"/>
    <w:rsid w:val="00B44AF0"/>
    <w:rsid w:val="00B45576"/>
    <w:rsid w:val="00B459D1"/>
    <w:rsid w:val="00B47367"/>
    <w:rsid w:val="00B511B4"/>
    <w:rsid w:val="00B513B0"/>
    <w:rsid w:val="00B51A40"/>
    <w:rsid w:val="00B51B45"/>
    <w:rsid w:val="00B51EA3"/>
    <w:rsid w:val="00B52751"/>
    <w:rsid w:val="00B52912"/>
    <w:rsid w:val="00B53288"/>
    <w:rsid w:val="00B54408"/>
    <w:rsid w:val="00B55153"/>
    <w:rsid w:val="00B55883"/>
    <w:rsid w:val="00B55D9D"/>
    <w:rsid w:val="00B562DB"/>
    <w:rsid w:val="00B567CF"/>
    <w:rsid w:val="00B56D75"/>
    <w:rsid w:val="00B57769"/>
    <w:rsid w:val="00B608AB"/>
    <w:rsid w:val="00B61A25"/>
    <w:rsid w:val="00B63FEC"/>
    <w:rsid w:val="00B648FE"/>
    <w:rsid w:val="00B64A21"/>
    <w:rsid w:val="00B6506F"/>
    <w:rsid w:val="00B65180"/>
    <w:rsid w:val="00B65380"/>
    <w:rsid w:val="00B65AF5"/>
    <w:rsid w:val="00B6636D"/>
    <w:rsid w:val="00B664B2"/>
    <w:rsid w:val="00B6680A"/>
    <w:rsid w:val="00B6686A"/>
    <w:rsid w:val="00B67A4E"/>
    <w:rsid w:val="00B67B9C"/>
    <w:rsid w:val="00B700A9"/>
    <w:rsid w:val="00B704B6"/>
    <w:rsid w:val="00B712C4"/>
    <w:rsid w:val="00B720E7"/>
    <w:rsid w:val="00B72725"/>
    <w:rsid w:val="00B72940"/>
    <w:rsid w:val="00B729B7"/>
    <w:rsid w:val="00B731A1"/>
    <w:rsid w:val="00B73417"/>
    <w:rsid w:val="00B743B6"/>
    <w:rsid w:val="00B75178"/>
    <w:rsid w:val="00B752EF"/>
    <w:rsid w:val="00B755CF"/>
    <w:rsid w:val="00B75889"/>
    <w:rsid w:val="00B75927"/>
    <w:rsid w:val="00B76606"/>
    <w:rsid w:val="00B76A9F"/>
    <w:rsid w:val="00B76C74"/>
    <w:rsid w:val="00B76DC1"/>
    <w:rsid w:val="00B800F9"/>
    <w:rsid w:val="00B809F2"/>
    <w:rsid w:val="00B811D5"/>
    <w:rsid w:val="00B81323"/>
    <w:rsid w:val="00B81344"/>
    <w:rsid w:val="00B82C1F"/>
    <w:rsid w:val="00B83875"/>
    <w:rsid w:val="00B8491C"/>
    <w:rsid w:val="00B8507E"/>
    <w:rsid w:val="00B86009"/>
    <w:rsid w:val="00B863F2"/>
    <w:rsid w:val="00B86794"/>
    <w:rsid w:val="00B87B5D"/>
    <w:rsid w:val="00B87F8B"/>
    <w:rsid w:val="00B9052F"/>
    <w:rsid w:val="00B913C4"/>
    <w:rsid w:val="00B92560"/>
    <w:rsid w:val="00B92DEA"/>
    <w:rsid w:val="00B93F6D"/>
    <w:rsid w:val="00B947F2"/>
    <w:rsid w:val="00B94863"/>
    <w:rsid w:val="00B951E5"/>
    <w:rsid w:val="00B95E05"/>
    <w:rsid w:val="00B971C6"/>
    <w:rsid w:val="00B97A5F"/>
    <w:rsid w:val="00B97AD1"/>
    <w:rsid w:val="00BA0293"/>
    <w:rsid w:val="00BA099B"/>
    <w:rsid w:val="00BA0C68"/>
    <w:rsid w:val="00BA1027"/>
    <w:rsid w:val="00BA1109"/>
    <w:rsid w:val="00BA118D"/>
    <w:rsid w:val="00BA1446"/>
    <w:rsid w:val="00BA16C9"/>
    <w:rsid w:val="00BA230E"/>
    <w:rsid w:val="00BA24A0"/>
    <w:rsid w:val="00BA2B8F"/>
    <w:rsid w:val="00BA3B00"/>
    <w:rsid w:val="00BA46D9"/>
    <w:rsid w:val="00BA57D8"/>
    <w:rsid w:val="00BA6274"/>
    <w:rsid w:val="00BA66B9"/>
    <w:rsid w:val="00BA7CF9"/>
    <w:rsid w:val="00BB004B"/>
    <w:rsid w:val="00BB0237"/>
    <w:rsid w:val="00BB08ED"/>
    <w:rsid w:val="00BB1727"/>
    <w:rsid w:val="00BB1A58"/>
    <w:rsid w:val="00BB219B"/>
    <w:rsid w:val="00BB261F"/>
    <w:rsid w:val="00BB36ED"/>
    <w:rsid w:val="00BB456F"/>
    <w:rsid w:val="00BB4DC1"/>
    <w:rsid w:val="00BB58E1"/>
    <w:rsid w:val="00BB66F2"/>
    <w:rsid w:val="00BB68B5"/>
    <w:rsid w:val="00BB78D8"/>
    <w:rsid w:val="00BB7944"/>
    <w:rsid w:val="00BB7C3A"/>
    <w:rsid w:val="00BC004E"/>
    <w:rsid w:val="00BC034A"/>
    <w:rsid w:val="00BC03EC"/>
    <w:rsid w:val="00BC0503"/>
    <w:rsid w:val="00BC0514"/>
    <w:rsid w:val="00BC11B5"/>
    <w:rsid w:val="00BC1541"/>
    <w:rsid w:val="00BC16B8"/>
    <w:rsid w:val="00BC16F6"/>
    <w:rsid w:val="00BC1C84"/>
    <w:rsid w:val="00BC208E"/>
    <w:rsid w:val="00BC2301"/>
    <w:rsid w:val="00BC254C"/>
    <w:rsid w:val="00BC2CAE"/>
    <w:rsid w:val="00BC3C3E"/>
    <w:rsid w:val="00BC43B9"/>
    <w:rsid w:val="00BC48C0"/>
    <w:rsid w:val="00BC52D1"/>
    <w:rsid w:val="00BC7A6F"/>
    <w:rsid w:val="00BC7B1F"/>
    <w:rsid w:val="00BD000B"/>
    <w:rsid w:val="00BD0C58"/>
    <w:rsid w:val="00BD11CB"/>
    <w:rsid w:val="00BD1AB7"/>
    <w:rsid w:val="00BD1DE6"/>
    <w:rsid w:val="00BD2955"/>
    <w:rsid w:val="00BD2B75"/>
    <w:rsid w:val="00BD322D"/>
    <w:rsid w:val="00BD3C79"/>
    <w:rsid w:val="00BD3E09"/>
    <w:rsid w:val="00BD4294"/>
    <w:rsid w:val="00BD499C"/>
    <w:rsid w:val="00BD4FE5"/>
    <w:rsid w:val="00BD52CF"/>
    <w:rsid w:val="00BD53E7"/>
    <w:rsid w:val="00BD5F9D"/>
    <w:rsid w:val="00BD683F"/>
    <w:rsid w:val="00BD795F"/>
    <w:rsid w:val="00BD7EA7"/>
    <w:rsid w:val="00BD7F83"/>
    <w:rsid w:val="00BD7F87"/>
    <w:rsid w:val="00BE0AFA"/>
    <w:rsid w:val="00BE10C6"/>
    <w:rsid w:val="00BE130B"/>
    <w:rsid w:val="00BE1D23"/>
    <w:rsid w:val="00BE1F2B"/>
    <w:rsid w:val="00BE2741"/>
    <w:rsid w:val="00BE2C9A"/>
    <w:rsid w:val="00BE2D43"/>
    <w:rsid w:val="00BE39A1"/>
    <w:rsid w:val="00BE49A6"/>
    <w:rsid w:val="00BE4ABF"/>
    <w:rsid w:val="00BE4CF0"/>
    <w:rsid w:val="00BE4EFE"/>
    <w:rsid w:val="00BE5A9E"/>
    <w:rsid w:val="00BE613C"/>
    <w:rsid w:val="00BE7172"/>
    <w:rsid w:val="00BE778B"/>
    <w:rsid w:val="00BF011B"/>
    <w:rsid w:val="00BF1CFC"/>
    <w:rsid w:val="00BF1FE6"/>
    <w:rsid w:val="00BF3434"/>
    <w:rsid w:val="00BF3C44"/>
    <w:rsid w:val="00BF3C8F"/>
    <w:rsid w:val="00BF5596"/>
    <w:rsid w:val="00BF5B6A"/>
    <w:rsid w:val="00BF5F21"/>
    <w:rsid w:val="00BF72F5"/>
    <w:rsid w:val="00BF751B"/>
    <w:rsid w:val="00BF7689"/>
    <w:rsid w:val="00BF7B48"/>
    <w:rsid w:val="00C00E8F"/>
    <w:rsid w:val="00C01620"/>
    <w:rsid w:val="00C02439"/>
    <w:rsid w:val="00C02647"/>
    <w:rsid w:val="00C02EC9"/>
    <w:rsid w:val="00C041DA"/>
    <w:rsid w:val="00C04662"/>
    <w:rsid w:val="00C04A1A"/>
    <w:rsid w:val="00C05035"/>
    <w:rsid w:val="00C05DF2"/>
    <w:rsid w:val="00C0681A"/>
    <w:rsid w:val="00C103CF"/>
    <w:rsid w:val="00C113CD"/>
    <w:rsid w:val="00C11537"/>
    <w:rsid w:val="00C117E1"/>
    <w:rsid w:val="00C11C58"/>
    <w:rsid w:val="00C12415"/>
    <w:rsid w:val="00C12A81"/>
    <w:rsid w:val="00C12F45"/>
    <w:rsid w:val="00C1428B"/>
    <w:rsid w:val="00C1676E"/>
    <w:rsid w:val="00C17444"/>
    <w:rsid w:val="00C175CC"/>
    <w:rsid w:val="00C17971"/>
    <w:rsid w:val="00C17C51"/>
    <w:rsid w:val="00C201F7"/>
    <w:rsid w:val="00C20E83"/>
    <w:rsid w:val="00C22026"/>
    <w:rsid w:val="00C222CE"/>
    <w:rsid w:val="00C22F5F"/>
    <w:rsid w:val="00C23855"/>
    <w:rsid w:val="00C2403B"/>
    <w:rsid w:val="00C25AA0"/>
    <w:rsid w:val="00C25C4C"/>
    <w:rsid w:val="00C25E5F"/>
    <w:rsid w:val="00C263D7"/>
    <w:rsid w:val="00C27125"/>
    <w:rsid w:val="00C271A7"/>
    <w:rsid w:val="00C27293"/>
    <w:rsid w:val="00C276FA"/>
    <w:rsid w:val="00C27701"/>
    <w:rsid w:val="00C27B81"/>
    <w:rsid w:val="00C3098D"/>
    <w:rsid w:val="00C30ED7"/>
    <w:rsid w:val="00C32604"/>
    <w:rsid w:val="00C3267D"/>
    <w:rsid w:val="00C32BB5"/>
    <w:rsid w:val="00C32D9E"/>
    <w:rsid w:val="00C332BE"/>
    <w:rsid w:val="00C33A6D"/>
    <w:rsid w:val="00C33A75"/>
    <w:rsid w:val="00C34781"/>
    <w:rsid w:val="00C34847"/>
    <w:rsid w:val="00C34A21"/>
    <w:rsid w:val="00C350C6"/>
    <w:rsid w:val="00C35F9F"/>
    <w:rsid w:val="00C36521"/>
    <w:rsid w:val="00C37A70"/>
    <w:rsid w:val="00C37C40"/>
    <w:rsid w:val="00C40007"/>
    <w:rsid w:val="00C407B8"/>
    <w:rsid w:val="00C409EF"/>
    <w:rsid w:val="00C41573"/>
    <w:rsid w:val="00C41672"/>
    <w:rsid w:val="00C41B0E"/>
    <w:rsid w:val="00C41FC2"/>
    <w:rsid w:val="00C4203F"/>
    <w:rsid w:val="00C4238B"/>
    <w:rsid w:val="00C42799"/>
    <w:rsid w:val="00C42A04"/>
    <w:rsid w:val="00C43106"/>
    <w:rsid w:val="00C4437C"/>
    <w:rsid w:val="00C44B7E"/>
    <w:rsid w:val="00C44EA9"/>
    <w:rsid w:val="00C450D1"/>
    <w:rsid w:val="00C45185"/>
    <w:rsid w:val="00C458AA"/>
    <w:rsid w:val="00C460B3"/>
    <w:rsid w:val="00C46319"/>
    <w:rsid w:val="00C465D1"/>
    <w:rsid w:val="00C466B7"/>
    <w:rsid w:val="00C46B59"/>
    <w:rsid w:val="00C475F4"/>
    <w:rsid w:val="00C509A0"/>
    <w:rsid w:val="00C50B00"/>
    <w:rsid w:val="00C50D5B"/>
    <w:rsid w:val="00C51513"/>
    <w:rsid w:val="00C51753"/>
    <w:rsid w:val="00C52E4A"/>
    <w:rsid w:val="00C53C86"/>
    <w:rsid w:val="00C54C11"/>
    <w:rsid w:val="00C54E0D"/>
    <w:rsid w:val="00C54F77"/>
    <w:rsid w:val="00C55A12"/>
    <w:rsid w:val="00C55A3C"/>
    <w:rsid w:val="00C55BE1"/>
    <w:rsid w:val="00C560B0"/>
    <w:rsid w:val="00C562A1"/>
    <w:rsid w:val="00C5655B"/>
    <w:rsid w:val="00C56724"/>
    <w:rsid w:val="00C5696F"/>
    <w:rsid w:val="00C57B9B"/>
    <w:rsid w:val="00C57E50"/>
    <w:rsid w:val="00C60EEF"/>
    <w:rsid w:val="00C62422"/>
    <w:rsid w:val="00C6300D"/>
    <w:rsid w:val="00C63B24"/>
    <w:rsid w:val="00C64D54"/>
    <w:rsid w:val="00C657D4"/>
    <w:rsid w:val="00C65AD0"/>
    <w:rsid w:val="00C65C4B"/>
    <w:rsid w:val="00C66DAD"/>
    <w:rsid w:val="00C674CD"/>
    <w:rsid w:val="00C702CF"/>
    <w:rsid w:val="00C7049D"/>
    <w:rsid w:val="00C7157C"/>
    <w:rsid w:val="00C717FA"/>
    <w:rsid w:val="00C723B0"/>
    <w:rsid w:val="00C72C2C"/>
    <w:rsid w:val="00C73144"/>
    <w:rsid w:val="00C732FE"/>
    <w:rsid w:val="00C7371D"/>
    <w:rsid w:val="00C73C5C"/>
    <w:rsid w:val="00C74AE3"/>
    <w:rsid w:val="00C758BE"/>
    <w:rsid w:val="00C76F9B"/>
    <w:rsid w:val="00C77463"/>
    <w:rsid w:val="00C77898"/>
    <w:rsid w:val="00C80338"/>
    <w:rsid w:val="00C81C0C"/>
    <w:rsid w:val="00C82114"/>
    <w:rsid w:val="00C8258D"/>
    <w:rsid w:val="00C82F20"/>
    <w:rsid w:val="00C83556"/>
    <w:rsid w:val="00C847FF"/>
    <w:rsid w:val="00C85B40"/>
    <w:rsid w:val="00C86AF5"/>
    <w:rsid w:val="00C87C26"/>
    <w:rsid w:val="00C87C5B"/>
    <w:rsid w:val="00C9020F"/>
    <w:rsid w:val="00C9039C"/>
    <w:rsid w:val="00C91937"/>
    <w:rsid w:val="00C91CDE"/>
    <w:rsid w:val="00C92CC1"/>
    <w:rsid w:val="00C92DF8"/>
    <w:rsid w:val="00C93C71"/>
    <w:rsid w:val="00C9457D"/>
    <w:rsid w:val="00C945A0"/>
    <w:rsid w:val="00C94B17"/>
    <w:rsid w:val="00C9624A"/>
    <w:rsid w:val="00C96BC6"/>
    <w:rsid w:val="00C96DD8"/>
    <w:rsid w:val="00C97380"/>
    <w:rsid w:val="00C97425"/>
    <w:rsid w:val="00CA02A5"/>
    <w:rsid w:val="00CA0AF8"/>
    <w:rsid w:val="00CA19F0"/>
    <w:rsid w:val="00CA1DCB"/>
    <w:rsid w:val="00CA2D60"/>
    <w:rsid w:val="00CA2F8F"/>
    <w:rsid w:val="00CA374B"/>
    <w:rsid w:val="00CA3BD0"/>
    <w:rsid w:val="00CA471D"/>
    <w:rsid w:val="00CA480A"/>
    <w:rsid w:val="00CA57B6"/>
    <w:rsid w:val="00CA58A7"/>
    <w:rsid w:val="00CA5A2D"/>
    <w:rsid w:val="00CA6129"/>
    <w:rsid w:val="00CA7193"/>
    <w:rsid w:val="00CA78CB"/>
    <w:rsid w:val="00CB11CE"/>
    <w:rsid w:val="00CB141D"/>
    <w:rsid w:val="00CB1435"/>
    <w:rsid w:val="00CB1F11"/>
    <w:rsid w:val="00CB1F16"/>
    <w:rsid w:val="00CB2A43"/>
    <w:rsid w:val="00CB2DF1"/>
    <w:rsid w:val="00CB326F"/>
    <w:rsid w:val="00CB3683"/>
    <w:rsid w:val="00CB3ABC"/>
    <w:rsid w:val="00CB3AC2"/>
    <w:rsid w:val="00CB46C4"/>
    <w:rsid w:val="00CB500C"/>
    <w:rsid w:val="00CB5258"/>
    <w:rsid w:val="00CB75C6"/>
    <w:rsid w:val="00CB7828"/>
    <w:rsid w:val="00CB7CD7"/>
    <w:rsid w:val="00CB7EC5"/>
    <w:rsid w:val="00CC00B5"/>
    <w:rsid w:val="00CC01D6"/>
    <w:rsid w:val="00CC1C8F"/>
    <w:rsid w:val="00CC2163"/>
    <w:rsid w:val="00CC263B"/>
    <w:rsid w:val="00CC2823"/>
    <w:rsid w:val="00CC2CB7"/>
    <w:rsid w:val="00CC3052"/>
    <w:rsid w:val="00CC3247"/>
    <w:rsid w:val="00CC38FA"/>
    <w:rsid w:val="00CC39D1"/>
    <w:rsid w:val="00CC51B7"/>
    <w:rsid w:val="00CC5575"/>
    <w:rsid w:val="00CC5757"/>
    <w:rsid w:val="00CC597D"/>
    <w:rsid w:val="00CC5D94"/>
    <w:rsid w:val="00CC5E37"/>
    <w:rsid w:val="00CC5FD2"/>
    <w:rsid w:val="00CC6517"/>
    <w:rsid w:val="00CC6AD0"/>
    <w:rsid w:val="00CC7292"/>
    <w:rsid w:val="00CC7ADF"/>
    <w:rsid w:val="00CD06AE"/>
    <w:rsid w:val="00CD1278"/>
    <w:rsid w:val="00CD1363"/>
    <w:rsid w:val="00CD1996"/>
    <w:rsid w:val="00CD19B7"/>
    <w:rsid w:val="00CD2447"/>
    <w:rsid w:val="00CD2F82"/>
    <w:rsid w:val="00CD312A"/>
    <w:rsid w:val="00CD56F0"/>
    <w:rsid w:val="00CD6100"/>
    <w:rsid w:val="00CD712F"/>
    <w:rsid w:val="00CD77FD"/>
    <w:rsid w:val="00CD7F61"/>
    <w:rsid w:val="00CE0797"/>
    <w:rsid w:val="00CE0BBA"/>
    <w:rsid w:val="00CE0DD6"/>
    <w:rsid w:val="00CE0E7A"/>
    <w:rsid w:val="00CE0EBF"/>
    <w:rsid w:val="00CE18F9"/>
    <w:rsid w:val="00CE1EA8"/>
    <w:rsid w:val="00CE365A"/>
    <w:rsid w:val="00CE3A00"/>
    <w:rsid w:val="00CE4371"/>
    <w:rsid w:val="00CE5179"/>
    <w:rsid w:val="00CE532D"/>
    <w:rsid w:val="00CE5DDC"/>
    <w:rsid w:val="00CE64CE"/>
    <w:rsid w:val="00CE6ADD"/>
    <w:rsid w:val="00CE6B07"/>
    <w:rsid w:val="00CE7A4C"/>
    <w:rsid w:val="00CF0345"/>
    <w:rsid w:val="00CF0DCD"/>
    <w:rsid w:val="00CF1215"/>
    <w:rsid w:val="00CF152E"/>
    <w:rsid w:val="00CF156A"/>
    <w:rsid w:val="00CF1D42"/>
    <w:rsid w:val="00CF1F56"/>
    <w:rsid w:val="00CF2596"/>
    <w:rsid w:val="00CF265D"/>
    <w:rsid w:val="00CF4054"/>
    <w:rsid w:val="00CF461C"/>
    <w:rsid w:val="00CF4CF8"/>
    <w:rsid w:val="00CF51D4"/>
    <w:rsid w:val="00CF545E"/>
    <w:rsid w:val="00CF57A3"/>
    <w:rsid w:val="00CF585F"/>
    <w:rsid w:val="00CF74F5"/>
    <w:rsid w:val="00CF7791"/>
    <w:rsid w:val="00CF7CCB"/>
    <w:rsid w:val="00D00726"/>
    <w:rsid w:val="00D00B24"/>
    <w:rsid w:val="00D019FE"/>
    <w:rsid w:val="00D028E1"/>
    <w:rsid w:val="00D0296E"/>
    <w:rsid w:val="00D03235"/>
    <w:rsid w:val="00D032C9"/>
    <w:rsid w:val="00D032D9"/>
    <w:rsid w:val="00D03456"/>
    <w:rsid w:val="00D0353E"/>
    <w:rsid w:val="00D042C3"/>
    <w:rsid w:val="00D04462"/>
    <w:rsid w:val="00D0466A"/>
    <w:rsid w:val="00D04995"/>
    <w:rsid w:val="00D04CC5"/>
    <w:rsid w:val="00D05282"/>
    <w:rsid w:val="00D056B2"/>
    <w:rsid w:val="00D06704"/>
    <w:rsid w:val="00D072D3"/>
    <w:rsid w:val="00D074C0"/>
    <w:rsid w:val="00D075D9"/>
    <w:rsid w:val="00D104CC"/>
    <w:rsid w:val="00D10E14"/>
    <w:rsid w:val="00D110CF"/>
    <w:rsid w:val="00D1117C"/>
    <w:rsid w:val="00D115F8"/>
    <w:rsid w:val="00D11AF4"/>
    <w:rsid w:val="00D11F10"/>
    <w:rsid w:val="00D12127"/>
    <w:rsid w:val="00D131D1"/>
    <w:rsid w:val="00D13B4E"/>
    <w:rsid w:val="00D142B7"/>
    <w:rsid w:val="00D15480"/>
    <w:rsid w:val="00D16427"/>
    <w:rsid w:val="00D1659A"/>
    <w:rsid w:val="00D16861"/>
    <w:rsid w:val="00D1730D"/>
    <w:rsid w:val="00D1757A"/>
    <w:rsid w:val="00D17CAB"/>
    <w:rsid w:val="00D21E02"/>
    <w:rsid w:val="00D2360E"/>
    <w:rsid w:val="00D23C41"/>
    <w:rsid w:val="00D24036"/>
    <w:rsid w:val="00D24497"/>
    <w:rsid w:val="00D24D7C"/>
    <w:rsid w:val="00D25161"/>
    <w:rsid w:val="00D256AF"/>
    <w:rsid w:val="00D25D02"/>
    <w:rsid w:val="00D26BBD"/>
    <w:rsid w:val="00D31147"/>
    <w:rsid w:val="00D316ED"/>
    <w:rsid w:val="00D31AB1"/>
    <w:rsid w:val="00D327DB"/>
    <w:rsid w:val="00D32817"/>
    <w:rsid w:val="00D32DAC"/>
    <w:rsid w:val="00D33221"/>
    <w:rsid w:val="00D33FFE"/>
    <w:rsid w:val="00D349EC"/>
    <w:rsid w:val="00D350A5"/>
    <w:rsid w:val="00D35437"/>
    <w:rsid w:val="00D357C4"/>
    <w:rsid w:val="00D35CCF"/>
    <w:rsid w:val="00D40261"/>
    <w:rsid w:val="00D40384"/>
    <w:rsid w:val="00D41AB7"/>
    <w:rsid w:val="00D41C6E"/>
    <w:rsid w:val="00D42375"/>
    <w:rsid w:val="00D43CBA"/>
    <w:rsid w:val="00D44348"/>
    <w:rsid w:val="00D443A3"/>
    <w:rsid w:val="00D44553"/>
    <w:rsid w:val="00D44598"/>
    <w:rsid w:val="00D46064"/>
    <w:rsid w:val="00D467FF"/>
    <w:rsid w:val="00D47D16"/>
    <w:rsid w:val="00D50334"/>
    <w:rsid w:val="00D506B3"/>
    <w:rsid w:val="00D5100B"/>
    <w:rsid w:val="00D51090"/>
    <w:rsid w:val="00D51503"/>
    <w:rsid w:val="00D516FA"/>
    <w:rsid w:val="00D518B2"/>
    <w:rsid w:val="00D51FCA"/>
    <w:rsid w:val="00D528C0"/>
    <w:rsid w:val="00D52F46"/>
    <w:rsid w:val="00D53B5B"/>
    <w:rsid w:val="00D53B5C"/>
    <w:rsid w:val="00D55755"/>
    <w:rsid w:val="00D56169"/>
    <w:rsid w:val="00D563A9"/>
    <w:rsid w:val="00D5655C"/>
    <w:rsid w:val="00D57D5E"/>
    <w:rsid w:val="00D60B84"/>
    <w:rsid w:val="00D622D0"/>
    <w:rsid w:val="00D62349"/>
    <w:rsid w:val="00D623BC"/>
    <w:rsid w:val="00D6260E"/>
    <w:rsid w:val="00D63481"/>
    <w:rsid w:val="00D637A7"/>
    <w:rsid w:val="00D64179"/>
    <w:rsid w:val="00D643A4"/>
    <w:rsid w:val="00D64C67"/>
    <w:rsid w:val="00D64FFB"/>
    <w:rsid w:val="00D658F2"/>
    <w:rsid w:val="00D665D7"/>
    <w:rsid w:val="00D70708"/>
    <w:rsid w:val="00D710B8"/>
    <w:rsid w:val="00D712E9"/>
    <w:rsid w:val="00D719AE"/>
    <w:rsid w:val="00D72327"/>
    <w:rsid w:val="00D72B03"/>
    <w:rsid w:val="00D72E87"/>
    <w:rsid w:val="00D73CDE"/>
    <w:rsid w:val="00D73CF1"/>
    <w:rsid w:val="00D7423A"/>
    <w:rsid w:val="00D74275"/>
    <w:rsid w:val="00D743F3"/>
    <w:rsid w:val="00D759A1"/>
    <w:rsid w:val="00D76073"/>
    <w:rsid w:val="00D8277B"/>
    <w:rsid w:val="00D82B2C"/>
    <w:rsid w:val="00D82B36"/>
    <w:rsid w:val="00D842BA"/>
    <w:rsid w:val="00D84884"/>
    <w:rsid w:val="00D859E3"/>
    <w:rsid w:val="00D8605F"/>
    <w:rsid w:val="00D87293"/>
    <w:rsid w:val="00D9035D"/>
    <w:rsid w:val="00D9079F"/>
    <w:rsid w:val="00D90A2B"/>
    <w:rsid w:val="00D90BCA"/>
    <w:rsid w:val="00D90F79"/>
    <w:rsid w:val="00D913B0"/>
    <w:rsid w:val="00D91586"/>
    <w:rsid w:val="00D91591"/>
    <w:rsid w:val="00D91906"/>
    <w:rsid w:val="00D91AB7"/>
    <w:rsid w:val="00D93A5E"/>
    <w:rsid w:val="00D94036"/>
    <w:rsid w:val="00D94145"/>
    <w:rsid w:val="00D954D9"/>
    <w:rsid w:val="00D9557B"/>
    <w:rsid w:val="00D95A92"/>
    <w:rsid w:val="00D96147"/>
    <w:rsid w:val="00D97359"/>
    <w:rsid w:val="00D9748C"/>
    <w:rsid w:val="00D97509"/>
    <w:rsid w:val="00D97FA7"/>
    <w:rsid w:val="00DA0441"/>
    <w:rsid w:val="00DA0B91"/>
    <w:rsid w:val="00DA0DD3"/>
    <w:rsid w:val="00DA0FE7"/>
    <w:rsid w:val="00DA16BC"/>
    <w:rsid w:val="00DA1AD3"/>
    <w:rsid w:val="00DA1ED0"/>
    <w:rsid w:val="00DA20F4"/>
    <w:rsid w:val="00DA22F2"/>
    <w:rsid w:val="00DA2AC9"/>
    <w:rsid w:val="00DA2BBC"/>
    <w:rsid w:val="00DA347E"/>
    <w:rsid w:val="00DA468B"/>
    <w:rsid w:val="00DA54C5"/>
    <w:rsid w:val="00DA5D5A"/>
    <w:rsid w:val="00DA70A2"/>
    <w:rsid w:val="00DA7237"/>
    <w:rsid w:val="00DB0BB5"/>
    <w:rsid w:val="00DB0EBD"/>
    <w:rsid w:val="00DB1554"/>
    <w:rsid w:val="00DB1CEA"/>
    <w:rsid w:val="00DB1D18"/>
    <w:rsid w:val="00DB2AE3"/>
    <w:rsid w:val="00DB3005"/>
    <w:rsid w:val="00DB32AE"/>
    <w:rsid w:val="00DB4D4C"/>
    <w:rsid w:val="00DB4D5D"/>
    <w:rsid w:val="00DB50E1"/>
    <w:rsid w:val="00DB521B"/>
    <w:rsid w:val="00DB5700"/>
    <w:rsid w:val="00DB6308"/>
    <w:rsid w:val="00DB63F1"/>
    <w:rsid w:val="00DB6598"/>
    <w:rsid w:val="00DB6650"/>
    <w:rsid w:val="00DB6A20"/>
    <w:rsid w:val="00DB6C2C"/>
    <w:rsid w:val="00DB6C9E"/>
    <w:rsid w:val="00DB6D0A"/>
    <w:rsid w:val="00DB79CB"/>
    <w:rsid w:val="00DC003F"/>
    <w:rsid w:val="00DC01DF"/>
    <w:rsid w:val="00DC04F5"/>
    <w:rsid w:val="00DC09B5"/>
    <w:rsid w:val="00DC0D03"/>
    <w:rsid w:val="00DC0D48"/>
    <w:rsid w:val="00DC292B"/>
    <w:rsid w:val="00DC2FED"/>
    <w:rsid w:val="00DC3092"/>
    <w:rsid w:val="00DC334C"/>
    <w:rsid w:val="00DC382E"/>
    <w:rsid w:val="00DC3BDD"/>
    <w:rsid w:val="00DC40C8"/>
    <w:rsid w:val="00DC47B9"/>
    <w:rsid w:val="00DC4C92"/>
    <w:rsid w:val="00DC64A5"/>
    <w:rsid w:val="00DC75E4"/>
    <w:rsid w:val="00DD07EB"/>
    <w:rsid w:val="00DD14D3"/>
    <w:rsid w:val="00DD1809"/>
    <w:rsid w:val="00DD2467"/>
    <w:rsid w:val="00DD29F8"/>
    <w:rsid w:val="00DD3601"/>
    <w:rsid w:val="00DD36DF"/>
    <w:rsid w:val="00DD3BB8"/>
    <w:rsid w:val="00DD3CC2"/>
    <w:rsid w:val="00DD4708"/>
    <w:rsid w:val="00DD4B83"/>
    <w:rsid w:val="00DD518F"/>
    <w:rsid w:val="00DD5480"/>
    <w:rsid w:val="00DD6C05"/>
    <w:rsid w:val="00DE0021"/>
    <w:rsid w:val="00DE0182"/>
    <w:rsid w:val="00DE0B7C"/>
    <w:rsid w:val="00DE107E"/>
    <w:rsid w:val="00DE11E9"/>
    <w:rsid w:val="00DE1883"/>
    <w:rsid w:val="00DE1C86"/>
    <w:rsid w:val="00DE231D"/>
    <w:rsid w:val="00DE2814"/>
    <w:rsid w:val="00DE38D9"/>
    <w:rsid w:val="00DE4247"/>
    <w:rsid w:val="00DE51F4"/>
    <w:rsid w:val="00DE5AAC"/>
    <w:rsid w:val="00DE6968"/>
    <w:rsid w:val="00DE7357"/>
    <w:rsid w:val="00DE74A4"/>
    <w:rsid w:val="00DF077F"/>
    <w:rsid w:val="00DF1375"/>
    <w:rsid w:val="00DF1608"/>
    <w:rsid w:val="00DF1C46"/>
    <w:rsid w:val="00DF2504"/>
    <w:rsid w:val="00DF2E5C"/>
    <w:rsid w:val="00DF2F47"/>
    <w:rsid w:val="00DF3538"/>
    <w:rsid w:val="00DF397C"/>
    <w:rsid w:val="00DF53E7"/>
    <w:rsid w:val="00DF5A47"/>
    <w:rsid w:val="00DF6C7A"/>
    <w:rsid w:val="00DF7006"/>
    <w:rsid w:val="00DF7832"/>
    <w:rsid w:val="00DF7915"/>
    <w:rsid w:val="00E00000"/>
    <w:rsid w:val="00E002D7"/>
    <w:rsid w:val="00E00477"/>
    <w:rsid w:val="00E00A5F"/>
    <w:rsid w:val="00E00BAF"/>
    <w:rsid w:val="00E010BD"/>
    <w:rsid w:val="00E0186C"/>
    <w:rsid w:val="00E01EF7"/>
    <w:rsid w:val="00E02932"/>
    <w:rsid w:val="00E03292"/>
    <w:rsid w:val="00E03EC8"/>
    <w:rsid w:val="00E0440D"/>
    <w:rsid w:val="00E04E4C"/>
    <w:rsid w:val="00E05703"/>
    <w:rsid w:val="00E05A34"/>
    <w:rsid w:val="00E05F8D"/>
    <w:rsid w:val="00E07464"/>
    <w:rsid w:val="00E101E2"/>
    <w:rsid w:val="00E107DD"/>
    <w:rsid w:val="00E1139E"/>
    <w:rsid w:val="00E126A2"/>
    <w:rsid w:val="00E12F77"/>
    <w:rsid w:val="00E12FDE"/>
    <w:rsid w:val="00E13FC3"/>
    <w:rsid w:val="00E14332"/>
    <w:rsid w:val="00E14BDB"/>
    <w:rsid w:val="00E14DF7"/>
    <w:rsid w:val="00E1554C"/>
    <w:rsid w:val="00E177C8"/>
    <w:rsid w:val="00E17A8B"/>
    <w:rsid w:val="00E200B8"/>
    <w:rsid w:val="00E20BBA"/>
    <w:rsid w:val="00E210AE"/>
    <w:rsid w:val="00E212E5"/>
    <w:rsid w:val="00E217FA"/>
    <w:rsid w:val="00E2343C"/>
    <w:rsid w:val="00E2343E"/>
    <w:rsid w:val="00E23A12"/>
    <w:rsid w:val="00E23BD3"/>
    <w:rsid w:val="00E247C3"/>
    <w:rsid w:val="00E252CC"/>
    <w:rsid w:val="00E2549C"/>
    <w:rsid w:val="00E25BF8"/>
    <w:rsid w:val="00E26031"/>
    <w:rsid w:val="00E263B6"/>
    <w:rsid w:val="00E2670A"/>
    <w:rsid w:val="00E30A60"/>
    <w:rsid w:val="00E30F9E"/>
    <w:rsid w:val="00E3116F"/>
    <w:rsid w:val="00E31BB7"/>
    <w:rsid w:val="00E3272D"/>
    <w:rsid w:val="00E32E30"/>
    <w:rsid w:val="00E33DF8"/>
    <w:rsid w:val="00E340AA"/>
    <w:rsid w:val="00E3420A"/>
    <w:rsid w:val="00E346FA"/>
    <w:rsid w:val="00E350A2"/>
    <w:rsid w:val="00E353E1"/>
    <w:rsid w:val="00E36474"/>
    <w:rsid w:val="00E37072"/>
    <w:rsid w:val="00E37E86"/>
    <w:rsid w:val="00E40768"/>
    <w:rsid w:val="00E418B6"/>
    <w:rsid w:val="00E42125"/>
    <w:rsid w:val="00E43945"/>
    <w:rsid w:val="00E439DE"/>
    <w:rsid w:val="00E43A63"/>
    <w:rsid w:val="00E440A1"/>
    <w:rsid w:val="00E441AA"/>
    <w:rsid w:val="00E456BE"/>
    <w:rsid w:val="00E45A37"/>
    <w:rsid w:val="00E46136"/>
    <w:rsid w:val="00E46C3D"/>
    <w:rsid w:val="00E46DCE"/>
    <w:rsid w:val="00E47B41"/>
    <w:rsid w:val="00E47FA8"/>
    <w:rsid w:val="00E50472"/>
    <w:rsid w:val="00E50893"/>
    <w:rsid w:val="00E51A06"/>
    <w:rsid w:val="00E51C70"/>
    <w:rsid w:val="00E51D44"/>
    <w:rsid w:val="00E52572"/>
    <w:rsid w:val="00E5339B"/>
    <w:rsid w:val="00E538C0"/>
    <w:rsid w:val="00E53F67"/>
    <w:rsid w:val="00E54079"/>
    <w:rsid w:val="00E542F4"/>
    <w:rsid w:val="00E54896"/>
    <w:rsid w:val="00E558B4"/>
    <w:rsid w:val="00E55BCC"/>
    <w:rsid w:val="00E55C5F"/>
    <w:rsid w:val="00E56218"/>
    <w:rsid w:val="00E56552"/>
    <w:rsid w:val="00E606AC"/>
    <w:rsid w:val="00E615AA"/>
    <w:rsid w:val="00E61636"/>
    <w:rsid w:val="00E61C7F"/>
    <w:rsid w:val="00E62672"/>
    <w:rsid w:val="00E639B4"/>
    <w:rsid w:val="00E63B4B"/>
    <w:rsid w:val="00E64233"/>
    <w:rsid w:val="00E655CE"/>
    <w:rsid w:val="00E65B82"/>
    <w:rsid w:val="00E66A84"/>
    <w:rsid w:val="00E673E9"/>
    <w:rsid w:val="00E67B5F"/>
    <w:rsid w:val="00E70D3E"/>
    <w:rsid w:val="00E71F7A"/>
    <w:rsid w:val="00E72E45"/>
    <w:rsid w:val="00E742E0"/>
    <w:rsid w:val="00E7475C"/>
    <w:rsid w:val="00E747BC"/>
    <w:rsid w:val="00E74823"/>
    <w:rsid w:val="00E7498E"/>
    <w:rsid w:val="00E750BE"/>
    <w:rsid w:val="00E755CE"/>
    <w:rsid w:val="00E7618A"/>
    <w:rsid w:val="00E76659"/>
    <w:rsid w:val="00E76CA0"/>
    <w:rsid w:val="00E77097"/>
    <w:rsid w:val="00E773E0"/>
    <w:rsid w:val="00E7762E"/>
    <w:rsid w:val="00E77A0E"/>
    <w:rsid w:val="00E77D79"/>
    <w:rsid w:val="00E77F03"/>
    <w:rsid w:val="00E82C6E"/>
    <w:rsid w:val="00E83078"/>
    <w:rsid w:val="00E830A9"/>
    <w:rsid w:val="00E835B4"/>
    <w:rsid w:val="00E85AAA"/>
    <w:rsid w:val="00E86106"/>
    <w:rsid w:val="00E86399"/>
    <w:rsid w:val="00E864D2"/>
    <w:rsid w:val="00E8681C"/>
    <w:rsid w:val="00E90075"/>
    <w:rsid w:val="00E9028A"/>
    <w:rsid w:val="00E9028F"/>
    <w:rsid w:val="00E90381"/>
    <w:rsid w:val="00E907AE"/>
    <w:rsid w:val="00E91376"/>
    <w:rsid w:val="00E91BCD"/>
    <w:rsid w:val="00E91EC4"/>
    <w:rsid w:val="00E92591"/>
    <w:rsid w:val="00E92AE2"/>
    <w:rsid w:val="00E936F2"/>
    <w:rsid w:val="00E94957"/>
    <w:rsid w:val="00E94C2B"/>
    <w:rsid w:val="00E94DE3"/>
    <w:rsid w:val="00E95AF9"/>
    <w:rsid w:val="00E95D83"/>
    <w:rsid w:val="00E97818"/>
    <w:rsid w:val="00EA0012"/>
    <w:rsid w:val="00EA0DF8"/>
    <w:rsid w:val="00EA1344"/>
    <w:rsid w:val="00EA29BF"/>
    <w:rsid w:val="00EA33BB"/>
    <w:rsid w:val="00EA4358"/>
    <w:rsid w:val="00EA5C5F"/>
    <w:rsid w:val="00EA6883"/>
    <w:rsid w:val="00EA6C58"/>
    <w:rsid w:val="00EA7294"/>
    <w:rsid w:val="00EA7790"/>
    <w:rsid w:val="00EA7FEC"/>
    <w:rsid w:val="00EB0473"/>
    <w:rsid w:val="00EB08F9"/>
    <w:rsid w:val="00EB0906"/>
    <w:rsid w:val="00EB0AA0"/>
    <w:rsid w:val="00EB28A8"/>
    <w:rsid w:val="00EB2B42"/>
    <w:rsid w:val="00EB3A29"/>
    <w:rsid w:val="00EB3A58"/>
    <w:rsid w:val="00EB4D4C"/>
    <w:rsid w:val="00EB5A2C"/>
    <w:rsid w:val="00EB7825"/>
    <w:rsid w:val="00EB7ADD"/>
    <w:rsid w:val="00EC2F63"/>
    <w:rsid w:val="00EC30E7"/>
    <w:rsid w:val="00EC3491"/>
    <w:rsid w:val="00EC39D7"/>
    <w:rsid w:val="00EC5C3C"/>
    <w:rsid w:val="00EC6793"/>
    <w:rsid w:val="00EC6D07"/>
    <w:rsid w:val="00EC7016"/>
    <w:rsid w:val="00EC7671"/>
    <w:rsid w:val="00ED00D6"/>
    <w:rsid w:val="00ED023F"/>
    <w:rsid w:val="00ED0A11"/>
    <w:rsid w:val="00ED17EC"/>
    <w:rsid w:val="00ED23CC"/>
    <w:rsid w:val="00ED2653"/>
    <w:rsid w:val="00ED2F28"/>
    <w:rsid w:val="00ED3C13"/>
    <w:rsid w:val="00ED4632"/>
    <w:rsid w:val="00ED4E2F"/>
    <w:rsid w:val="00ED6C0B"/>
    <w:rsid w:val="00EE0C5F"/>
    <w:rsid w:val="00EE1CD1"/>
    <w:rsid w:val="00EE22B5"/>
    <w:rsid w:val="00EE2B45"/>
    <w:rsid w:val="00EE2CDB"/>
    <w:rsid w:val="00EE30CF"/>
    <w:rsid w:val="00EE3DE2"/>
    <w:rsid w:val="00EE3E65"/>
    <w:rsid w:val="00EE4F46"/>
    <w:rsid w:val="00EE62CB"/>
    <w:rsid w:val="00EE6DB0"/>
    <w:rsid w:val="00EE7063"/>
    <w:rsid w:val="00EE74FA"/>
    <w:rsid w:val="00EF035A"/>
    <w:rsid w:val="00EF1357"/>
    <w:rsid w:val="00EF1564"/>
    <w:rsid w:val="00EF169D"/>
    <w:rsid w:val="00EF2696"/>
    <w:rsid w:val="00EF3062"/>
    <w:rsid w:val="00EF5A3C"/>
    <w:rsid w:val="00EF6139"/>
    <w:rsid w:val="00EF62A1"/>
    <w:rsid w:val="00EF6467"/>
    <w:rsid w:val="00EF661C"/>
    <w:rsid w:val="00EF6CC3"/>
    <w:rsid w:val="00EF76AC"/>
    <w:rsid w:val="00EF784A"/>
    <w:rsid w:val="00F0020E"/>
    <w:rsid w:val="00F00476"/>
    <w:rsid w:val="00F008D5"/>
    <w:rsid w:val="00F00C2C"/>
    <w:rsid w:val="00F00EDE"/>
    <w:rsid w:val="00F016ED"/>
    <w:rsid w:val="00F02099"/>
    <w:rsid w:val="00F02127"/>
    <w:rsid w:val="00F02508"/>
    <w:rsid w:val="00F025E7"/>
    <w:rsid w:val="00F03134"/>
    <w:rsid w:val="00F0592C"/>
    <w:rsid w:val="00F059EF"/>
    <w:rsid w:val="00F06A3E"/>
    <w:rsid w:val="00F06BBE"/>
    <w:rsid w:val="00F06D89"/>
    <w:rsid w:val="00F07B1C"/>
    <w:rsid w:val="00F07E81"/>
    <w:rsid w:val="00F11088"/>
    <w:rsid w:val="00F11DB8"/>
    <w:rsid w:val="00F12045"/>
    <w:rsid w:val="00F121D8"/>
    <w:rsid w:val="00F1251B"/>
    <w:rsid w:val="00F1304B"/>
    <w:rsid w:val="00F133F4"/>
    <w:rsid w:val="00F13DE2"/>
    <w:rsid w:val="00F14ABC"/>
    <w:rsid w:val="00F17505"/>
    <w:rsid w:val="00F17EC9"/>
    <w:rsid w:val="00F20B6E"/>
    <w:rsid w:val="00F20DDD"/>
    <w:rsid w:val="00F22078"/>
    <w:rsid w:val="00F22740"/>
    <w:rsid w:val="00F22846"/>
    <w:rsid w:val="00F22A38"/>
    <w:rsid w:val="00F230EC"/>
    <w:rsid w:val="00F23A1A"/>
    <w:rsid w:val="00F24335"/>
    <w:rsid w:val="00F24AA7"/>
    <w:rsid w:val="00F24ADC"/>
    <w:rsid w:val="00F26D26"/>
    <w:rsid w:val="00F313EF"/>
    <w:rsid w:val="00F31D6D"/>
    <w:rsid w:val="00F32028"/>
    <w:rsid w:val="00F330DC"/>
    <w:rsid w:val="00F33687"/>
    <w:rsid w:val="00F33D40"/>
    <w:rsid w:val="00F3465F"/>
    <w:rsid w:val="00F34A86"/>
    <w:rsid w:val="00F34F1A"/>
    <w:rsid w:val="00F35487"/>
    <w:rsid w:val="00F3593D"/>
    <w:rsid w:val="00F370BA"/>
    <w:rsid w:val="00F37739"/>
    <w:rsid w:val="00F40119"/>
    <w:rsid w:val="00F410FC"/>
    <w:rsid w:val="00F41C4D"/>
    <w:rsid w:val="00F41FA2"/>
    <w:rsid w:val="00F429AE"/>
    <w:rsid w:val="00F42D58"/>
    <w:rsid w:val="00F43A7D"/>
    <w:rsid w:val="00F43D77"/>
    <w:rsid w:val="00F44126"/>
    <w:rsid w:val="00F4499C"/>
    <w:rsid w:val="00F44B46"/>
    <w:rsid w:val="00F44DE6"/>
    <w:rsid w:val="00F4575B"/>
    <w:rsid w:val="00F45ED5"/>
    <w:rsid w:val="00F45F04"/>
    <w:rsid w:val="00F4622D"/>
    <w:rsid w:val="00F4695F"/>
    <w:rsid w:val="00F47879"/>
    <w:rsid w:val="00F50FA4"/>
    <w:rsid w:val="00F51751"/>
    <w:rsid w:val="00F5286B"/>
    <w:rsid w:val="00F52F04"/>
    <w:rsid w:val="00F564DE"/>
    <w:rsid w:val="00F5776D"/>
    <w:rsid w:val="00F57903"/>
    <w:rsid w:val="00F6077E"/>
    <w:rsid w:val="00F61D2D"/>
    <w:rsid w:val="00F62109"/>
    <w:rsid w:val="00F622E8"/>
    <w:rsid w:val="00F63894"/>
    <w:rsid w:val="00F64008"/>
    <w:rsid w:val="00F6465E"/>
    <w:rsid w:val="00F64AEA"/>
    <w:rsid w:val="00F64F89"/>
    <w:rsid w:val="00F65F3F"/>
    <w:rsid w:val="00F67276"/>
    <w:rsid w:val="00F67D7A"/>
    <w:rsid w:val="00F70907"/>
    <w:rsid w:val="00F70DAD"/>
    <w:rsid w:val="00F710AE"/>
    <w:rsid w:val="00F71892"/>
    <w:rsid w:val="00F719B2"/>
    <w:rsid w:val="00F7278B"/>
    <w:rsid w:val="00F72B0F"/>
    <w:rsid w:val="00F72F0B"/>
    <w:rsid w:val="00F73A24"/>
    <w:rsid w:val="00F741D1"/>
    <w:rsid w:val="00F744BA"/>
    <w:rsid w:val="00F752C2"/>
    <w:rsid w:val="00F763B8"/>
    <w:rsid w:val="00F7687B"/>
    <w:rsid w:val="00F77A78"/>
    <w:rsid w:val="00F801B5"/>
    <w:rsid w:val="00F81BF9"/>
    <w:rsid w:val="00F81CE8"/>
    <w:rsid w:val="00F81D3A"/>
    <w:rsid w:val="00F8222E"/>
    <w:rsid w:val="00F82AE9"/>
    <w:rsid w:val="00F82B88"/>
    <w:rsid w:val="00F84227"/>
    <w:rsid w:val="00F85DA9"/>
    <w:rsid w:val="00F8600C"/>
    <w:rsid w:val="00F86040"/>
    <w:rsid w:val="00F86E05"/>
    <w:rsid w:val="00F8783D"/>
    <w:rsid w:val="00F87E71"/>
    <w:rsid w:val="00F90325"/>
    <w:rsid w:val="00F90440"/>
    <w:rsid w:val="00F93370"/>
    <w:rsid w:val="00F93701"/>
    <w:rsid w:val="00F944C6"/>
    <w:rsid w:val="00F95160"/>
    <w:rsid w:val="00F952F8"/>
    <w:rsid w:val="00F965AB"/>
    <w:rsid w:val="00F970B3"/>
    <w:rsid w:val="00F97B90"/>
    <w:rsid w:val="00F97BBC"/>
    <w:rsid w:val="00FA0371"/>
    <w:rsid w:val="00FA047F"/>
    <w:rsid w:val="00FA06EA"/>
    <w:rsid w:val="00FA0F4A"/>
    <w:rsid w:val="00FA16D9"/>
    <w:rsid w:val="00FA1716"/>
    <w:rsid w:val="00FA1935"/>
    <w:rsid w:val="00FA1A8D"/>
    <w:rsid w:val="00FA1F98"/>
    <w:rsid w:val="00FA2956"/>
    <w:rsid w:val="00FA2FCF"/>
    <w:rsid w:val="00FA37D3"/>
    <w:rsid w:val="00FA390E"/>
    <w:rsid w:val="00FA3D27"/>
    <w:rsid w:val="00FA44CB"/>
    <w:rsid w:val="00FA54DB"/>
    <w:rsid w:val="00FA6C5E"/>
    <w:rsid w:val="00FA7B68"/>
    <w:rsid w:val="00FB0752"/>
    <w:rsid w:val="00FB1617"/>
    <w:rsid w:val="00FB1B00"/>
    <w:rsid w:val="00FB1FE3"/>
    <w:rsid w:val="00FB388C"/>
    <w:rsid w:val="00FB3DD5"/>
    <w:rsid w:val="00FB4ADB"/>
    <w:rsid w:val="00FB4FDA"/>
    <w:rsid w:val="00FB7864"/>
    <w:rsid w:val="00FB78B0"/>
    <w:rsid w:val="00FC017D"/>
    <w:rsid w:val="00FC03A5"/>
    <w:rsid w:val="00FC0866"/>
    <w:rsid w:val="00FC10EC"/>
    <w:rsid w:val="00FC11A1"/>
    <w:rsid w:val="00FC2161"/>
    <w:rsid w:val="00FC2362"/>
    <w:rsid w:val="00FC314A"/>
    <w:rsid w:val="00FC4FEF"/>
    <w:rsid w:val="00FC5B23"/>
    <w:rsid w:val="00FC5BF2"/>
    <w:rsid w:val="00FC5C81"/>
    <w:rsid w:val="00FC5F13"/>
    <w:rsid w:val="00FC6435"/>
    <w:rsid w:val="00FC6F78"/>
    <w:rsid w:val="00FC721C"/>
    <w:rsid w:val="00FD0077"/>
    <w:rsid w:val="00FD19BD"/>
    <w:rsid w:val="00FD1D3A"/>
    <w:rsid w:val="00FD1E6E"/>
    <w:rsid w:val="00FD39EE"/>
    <w:rsid w:val="00FD3F01"/>
    <w:rsid w:val="00FD4894"/>
    <w:rsid w:val="00FD4A14"/>
    <w:rsid w:val="00FD4EC8"/>
    <w:rsid w:val="00FD524D"/>
    <w:rsid w:val="00FD53A3"/>
    <w:rsid w:val="00FD54AF"/>
    <w:rsid w:val="00FD5555"/>
    <w:rsid w:val="00FD5867"/>
    <w:rsid w:val="00FD5F64"/>
    <w:rsid w:val="00FD62FF"/>
    <w:rsid w:val="00FD684F"/>
    <w:rsid w:val="00FD748C"/>
    <w:rsid w:val="00FD7B45"/>
    <w:rsid w:val="00FE0FC2"/>
    <w:rsid w:val="00FE10F0"/>
    <w:rsid w:val="00FE2B2D"/>
    <w:rsid w:val="00FE30E8"/>
    <w:rsid w:val="00FE4A12"/>
    <w:rsid w:val="00FE4C50"/>
    <w:rsid w:val="00FE5223"/>
    <w:rsid w:val="00FE5E70"/>
    <w:rsid w:val="00FE7FD8"/>
    <w:rsid w:val="00FF039A"/>
    <w:rsid w:val="00FF0AD6"/>
    <w:rsid w:val="00FF0EAB"/>
    <w:rsid w:val="00FF15E7"/>
    <w:rsid w:val="00FF1B74"/>
    <w:rsid w:val="00FF2536"/>
    <w:rsid w:val="00FF2686"/>
    <w:rsid w:val="00FF6223"/>
    <w:rsid w:val="00FF67A4"/>
    <w:rsid w:val="00FF6ED4"/>
    <w:rsid w:val="00FF7D13"/>
    <w:rsid w:val="00FF7E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1F6F8"/>
  <w15:docId w15:val="{9640E848-813D-4F04-9D8F-4342C8CD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14042" w:themeColor="text1"/>
        <w:sz w:val="22"/>
        <w:szCs w:val="22"/>
        <w:lang w:val="en-AU" w:eastAsia="en-AU" w:bidi="ar-SA"/>
      </w:rPr>
    </w:rPrDefault>
    <w:pPrDefault>
      <w:pPr>
        <w:spacing w:before="100"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0"/>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2AB"/>
  </w:style>
  <w:style w:type="paragraph" w:styleId="Heading1">
    <w:name w:val="heading 1"/>
    <w:basedOn w:val="Normal"/>
    <w:next w:val="Normal"/>
    <w:link w:val="Heading1Char"/>
    <w:uiPriority w:val="9"/>
    <w:qFormat/>
    <w:rsid w:val="00C73144"/>
    <w:pPr>
      <w:keepNext/>
      <w:keepLines/>
      <w:spacing w:before="480" w:after="240" w:line="500" w:lineRule="exact"/>
      <w:ind w:right="1984"/>
      <w:contextualSpacing/>
      <w:outlineLvl w:val="0"/>
    </w:pPr>
    <w:rPr>
      <w:rFonts w:asciiTheme="majorHAnsi" w:eastAsiaTheme="majorEastAsia" w:hAnsiTheme="majorHAnsi" w:cs="Times New Roman"/>
      <w:b/>
      <w:bCs/>
      <w:iCs/>
      <w:caps/>
      <w:color w:val="1C3867" w:themeColor="text2"/>
      <w:sz w:val="48"/>
      <w:szCs w:val="48"/>
      <w:lang w:val="en-US" w:bidi="en-US"/>
    </w:rPr>
  </w:style>
  <w:style w:type="paragraph" w:styleId="Heading2">
    <w:name w:val="heading 2"/>
    <w:next w:val="Normal"/>
    <w:link w:val="Heading2Char"/>
    <w:unhideWhenUsed/>
    <w:qFormat/>
    <w:rsid w:val="00BB7C3A"/>
    <w:pPr>
      <w:keepNext/>
      <w:keepLines/>
      <w:spacing w:before="240"/>
      <w:outlineLvl w:val="1"/>
    </w:pPr>
    <w:rPr>
      <w:rFonts w:asciiTheme="majorHAnsi" w:eastAsia="Times New Roman" w:hAnsiTheme="majorHAnsi" w:cs="Times New Roman"/>
      <w:b/>
      <w:bCs/>
      <w:iCs/>
      <w:color w:val="000000"/>
      <w:sz w:val="28"/>
      <w:lang w:val="en-US" w:bidi="en-US"/>
    </w:rPr>
  </w:style>
  <w:style w:type="paragraph" w:styleId="Heading3">
    <w:name w:val="heading 3"/>
    <w:basedOn w:val="Normal"/>
    <w:next w:val="Normal"/>
    <w:link w:val="Heading3Char"/>
    <w:qFormat/>
    <w:rsid w:val="00BB7C3A"/>
    <w:pPr>
      <w:keepNext/>
      <w:keepLines/>
      <w:spacing w:before="200" w:line="240" w:lineRule="auto"/>
      <w:contextualSpacing/>
      <w:outlineLvl w:val="2"/>
    </w:pPr>
    <w:rPr>
      <w:rFonts w:asciiTheme="majorHAnsi" w:eastAsia="Times New Roman" w:hAnsiTheme="majorHAnsi" w:cs="Times New Roman"/>
      <w:b/>
      <w:bCs/>
      <w:iCs/>
      <w:caps/>
      <w:color w:val="1C3867" w:themeColor="text2"/>
      <w:lang w:val="en-US" w:bidi="en-US"/>
    </w:rPr>
  </w:style>
  <w:style w:type="paragraph" w:styleId="Heading4">
    <w:name w:val="heading 4"/>
    <w:basedOn w:val="Normal"/>
    <w:next w:val="Normal"/>
    <w:link w:val="Heading4Char"/>
    <w:unhideWhenUsed/>
    <w:qFormat/>
    <w:rsid w:val="001C5785"/>
    <w:pPr>
      <w:keepNext/>
      <w:keepLines/>
      <w:spacing w:before="200" w:after="240"/>
      <w:outlineLvl w:val="3"/>
    </w:pPr>
    <w:rPr>
      <w:rFonts w:asciiTheme="majorHAnsi" w:eastAsiaTheme="majorEastAsia" w:hAnsiTheme="majorHAnsi" w:cstheme="majorBidi"/>
      <w:b/>
      <w:bCs/>
      <w:i/>
      <w:iCs/>
      <w:lang w:val="en-US"/>
    </w:rPr>
  </w:style>
  <w:style w:type="paragraph" w:styleId="Heading5">
    <w:name w:val="heading 5"/>
    <w:basedOn w:val="Normal"/>
    <w:next w:val="Normal"/>
    <w:link w:val="Heading5Char"/>
    <w:uiPriority w:val="9"/>
    <w:unhideWhenUsed/>
    <w:qFormat/>
    <w:rsid w:val="0096478F"/>
    <w:pPr>
      <w:keepNext/>
      <w:numPr>
        <w:ilvl w:val="1"/>
        <w:numId w:val="1"/>
      </w:numPr>
      <w:spacing w:before="240"/>
      <w:ind w:left="578" w:hanging="578"/>
      <w:outlineLvl w:val="4"/>
    </w:pPr>
    <w:rPr>
      <w:rFonts w:asciiTheme="majorHAnsi" w:eastAsiaTheme="majorEastAsia" w:hAnsiTheme="majorHAnsi" w:cstheme="majorBidi"/>
      <w:b/>
      <w:bCs/>
      <w:caps/>
      <w:color w:val="1C3867" w:themeColor="text2"/>
      <w:szCs w:val="26"/>
    </w:rPr>
  </w:style>
  <w:style w:type="paragraph" w:styleId="Heading6">
    <w:name w:val="heading 6"/>
    <w:basedOn w:val="Normal"/>
    <w:next w:val="Normal"/>
    <w:link w:val="Heading6Char"/>
    <w:uiPriority w:val="9"/>
    <w:unhideWhenUsed/>
    <w:qFormat/>
    <w:rsid w:val="0096478F"/>
    <w:pPr>
      <w:keepNext/>
      <w:numPr>
        <w:ilvl w:val="2"/>
        <w:numId w:val="1"/>
      </w:numPr>
      <w:spacing w:before="240"/>
      <w:outlineLvl w:val="5"/>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144"/>
    <w:rPr>
      <w:rFonts w:asciiTheme="majorHAnsi" w:eastAsiaTheme="majorEastAsia" w:hAnsiTheme="majorHAnsi" w:cs="Times New Roman"/>
      <w:b/>
      <w:bCs/>
      <w:iCs/>
      <w:caps/>
      <w:color w:val="1C3867" w:themeColor="text2"/>
      <w:sz w:val="48"/>
      <w:szCs w:val="48"/>
      <w:lang w:val="en-US" w:bidi="en-US"/>
    </w:rPr>
  </w:style>
  <w:style w:type="character" w:customStyle="1" w:styleId="Heading2Char">
    <w:name w:val="Heading 2 Char"/>
    <w:basedOn w:val="DefaultParagraphFont"/>
    <w:link w:val="Heading2"/>
    <w:rsid w:val="00BB7C3A"/>
    <w:rPr>
      <w:rFonts w:asciiTheme="majorHAnsi" w:eastAsia="Times New Roman" w:hAnsiTheme="majorHAnsi" w:cs="Times New Roman"/>
      <w:b/>
      <w:bCs/>
      <w:iCs/>
      <w:color w:val="000000"/>
      <w:sz w:val="28"/>
      <w:lang w:val="en-US" w:bidi="en-US"/>
    </w:rPr>
  </w:style>
  <w:style w:type="character" w:customStyle="1" w:styleId="Heading3Char">
    <w:name w:val="Heading 3 Char"/>
    <w:basedOn w:val="DefaultParagraphFont"/>
    <w:link w:val="Heading3"/>
    <w:rsid w:val="00BB7C3A"/>
    <w:rPr>
      <w:rFonts w:asciiTheme="majorHAnsi" w:eastAsia="Times New Roman" w:hAnsiTheme="majorHAnsi" w:cs="Times New Roman"/>
      <w:b/>
      <w:bCs/>
      <w:iCs/>
      <w:caps/>
      <w:color w:val="1C3867" w:themeColor="text2"/>
      <w:lang w:val="en-US" w:bidi="en-US"/>
    </w:rPr>
  </w:style>
  <w:style w:type="character" w:customStyle="1" w:styleId="Heading4Char">
    <w:name w:val="Heading 4 Char"/>
    <w:basedOn w:val="DefaultParagraphFont"/>
    <w:link w:val="Heading4"/>
    <w:rsid w:val="001C5785"/>
    <w:rPr>
      <w:rFonts w:asciiTheme="majorHAnsi" w:eastAsiaTheme="majorEastAsia" w:hAnsiTheme="majorHAnsi" w:cstheme="majorBidi"/>
      <w:b/>
      <w:bCs/>
      <w:i/>
      <w:iCs/>
      <w:lang w:val="en-US"/>
    </w:rPr>
  </w:style>
  <w:style w:type="paragraph" w:styleId="ListParagraph">
    <w:name w:val="List Paragraph"/>
    <w:basedOn w:val="Normal"/>
    <w:uiPriority w:val="34"/>
    <w:qFormat/>
    <w:rsid w:val="00481A71"/>
    <w:pPr>
      <w:spacing w:line="288" w:lineRule="auto"/>
      <w:ind w:left="720"/>
      <w:contextualSpacing/>
    </w:pPr>
    <w:rPr>
      <w:rFonts w:ascii="Calibri" w:eastAsia="Times New Roman" w:hAnsi="Calibri" w:cs="Times New Roman"/>
      <w:i/>
      <w:iCs/>
      <w:szCs w:val="20"/>
      <w:lang w:bidi="en-US"/>
    </w:rPr>
  </w:style>
  <w:style w:type="character" w:styleId="SubtleReference">
    <w:name w:val="Subtle Reference"/>
    <w:rsid w:val="00481A71"/>
    <w:rPr>
      <w:i/>
      <w:iCs/>
      <w:smallCaps/>
      <w:color w:val="C0504D"/>
      <w:u w:color="C0504D"/>
    </w:rPr>
  </w:style>
  <w:style w:type="paragraph" w:styleId="Header">
    <w:name w:val="header"/>
    <w:basedOn w:val="Normal"/>
    <w:link w:val="HeaderChar"/>
    <w:uiPriority w:val="99"/>
    <w:rsid w:val="00076007"/>
    <w:pPr>
      <w:tabs>
        <w:tab w:val="center" w:pos="4513"/>
        <w:tab w:val="right" w:pos="9026"/>
      </w:tabs>
      <w:spacing w:before="0" w:after="0" w:line="288" w:lineRule="auto"/>
      <w:ind w:right="-873"/>
      <w:jc w:val="right"/>
    </w:pPr>
    <w:rPr>
      <w:rFonts w:ascii="Calibri" w:eastAsia="Times New Roman" w:hAnsi="Calibri" w:cs="Times New Roman"/>
      <w:iCs/>
      <w:szCs w:val="20"/>
      <w:lang w:bidi="en-US"/>
    </w:rPr>
  </w:style>
  <w:style w:type="character" w:customStyle="1" w:styleId="HeaderChar">
    <w:name w:val="Header Char"/>
    <w:basedOn w:val="DefaultParagraphFont"/>
    <w:link w:val="Header"/>
    <w:uiPriority w:val="99"/>
    <w:rsid w:val="00076007"/>
    <w:rPr>
      <w:rFonts w:ascii="Calibri" w:eastAsia="Times New Roman" w:hAnsi="Calibri" w:cs="Times New Roman"/>
      <w:iCs/>
      <w:szCs w:val="20"/>
      <w:lang w:bidi="en-US"/>
    </w:rPr>
  </w:style>
  <w:style w:type="paragraph" w:styleId="Footer">
    <w:name w:val="footer"/>
    <w:basedOn w:val="Normal"/>
    <w:link w:val="FooterChar"/>
    <w:uiPriority w:val="99"/>
    <w:rsid w:val="00B108C5"/>
    <w:pPr>
      <w:spacing w:before="0" w:after="0" w:line="240" w:lineRule="auto"/>
    </w:pPr>
    <w:rPr>
      <w:rFonts w:ascii="Calibri Light" w:hAnsi="Calibri Light"/>
      <w:sz w:val="20"/>
    </w:rPr>
  </w:style>
  <w:style w:type="character" w:customStyle="1" w:styleId="FooterChar">
    <w:name w:val="Footer Char"/>
    <w:basedOn w:val="DefaultParagraphFont"/>
    <w:link w:val="Footer"/>
    <w:uiPriority w:val="99"/>
    <w:rsid w:val="00B108C5"/>
    <w:rPr>
      <w:rFonts w:ascii="Calibri Light" w:hAnsi="Calibri Light"/>
      <w:sz w:val="20"/>
    </w:rPr>
  </w:style>
  <w:style w:type="table" w:customStyle="1" w:styleId="LightList-Accent11">
    <w:name w:val="Light List - Accent 11"/>
    <w:basedOn w:val="TableNormal"/>
    <w:rsid w:val="00481A7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pPr>
      <w:rPr>
        <w:b/>
        <w:bCs/>
        <w:color w:val="FFFFFF" w:themeColor="background1"/>
      </w:rPr>
      <w:tblPr/>
      <w:tcPr>
        <w:shd w:val="clear" w:color="auto" w:fill="1C3867" w:themeFill="text2"/>
      </w:tcPr>
    </w:tblStylePr>
    <w:tblStylePr w:type="lastRow">
      <w:pPr>
        <w:spacing w:before="0" w:after="0" w:line="240" w:lineRule="auto"/>
      </w:pPr>
      <w:rPr>
        <w:b/>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customStyle="1" w:styleId="TableText">
    <w:name w:val="Table Text"/>
    <w:basedOn w:val="Normal"/>
    <w:rsid w:val="00481A71"/>
    <w:pPr>
      <w:spacing w:after="0" w:line="240" w:lineRule="auto"/>
    </w:pPr>
    <w:rPr>
      <w:rFonts w:ascii="Arial" w:hAnsi="Arial"/>
      <w:i/>
      <w:iCs/>
      <w:lang w:val="en-US"/>
    </w:rPr>
  </w:style>
  <w:style w:type="paragraph" w:customStyle="1" w:styleId="TableHeading">
    <w:name w:val="Table Heading"/>
    <w:basedOn w:val="Normal"/>
    <w:rsid w:val="00481A71"/>
    <w:pPr>
      <w:spacing w:before="60" w:after="60" w:line="240" w:lineRule="auto"/>
    </w:pPr>
    <w:rPr>
      <w:rFonts w:ascii="Arial Narrow" w:hAnsi="Arial Narrow"/>
      <w:b/>
      <w:i/>
      <w:iCs/>
      <w:lang w:val="en-US"/>
    </w:rPr>
  </w:style>
  <w:style w:type="character" w:styleId="Strong">
    <w:name w:val="Strong"/>
    <w:qFormat/>
    <w:rsid w:val="00481A71"/>
    <w:rPr>
      <w:b/>
      <w:bCs/>
      <w:spacing w:val="0"/>
    </w:rPr>
  </w:style>
  <w:style w:type="paragraph" w:styleId="Quote">
    <w:name w:val="Quote"/>
    <w:basedOn w:val="Normal"/>
    <w:next w:val="Normal"/>
    <w:link w:val="QuoteChar"/>
    <w:rsid w:val="00481A71"/>
    <w:pPr>
      <w:spacing w:before="120" w:after="120" w:line="288" w:lineRule="auto"/>
    </w:pPr>
    <w:rPr>
      <w:rFonts w:ascii="Calibri" w:eastAsia="Times New Roman" w:hAnsi="Calibri" w:cs="Times New Roman"/>
      <w:b/>
      <w:color w:val="948A54"/>
      <w:szCs w:val="20"/>
      <w:lang w:bidi="en-US"/>
    </w:rPr>
  </w:style>
  <w:style w:type="character" w:customStyle="1" w:styleId="QuoteChar">
    <w:name w:val="Quote Char"/>
    <w:basedOn w:val="DefaultParagraphFont"/>
    <w:link w:val="Quote"/>
    <w:rsid w:val="00481A71"/>
    <w:rPr>
      <w:rFonts w:ascii="Calibri" w:eastAsia="Times New Roman" w:hAnsi="Calibri" w:cs="Times New Roman"/>
      <w:b/>
      <w:color w:val="948A54"/>
      <w:szCs w:val="20"/>
      <w:lang w:bidi="en-US"/>
    </w:rPr>
  </w:style>
  <w:style w:type="paragraph" w:customStyle="1" w:styleId="SOACoverPage">
    <w:name w:val="SOA Cover Page"/>
    <w:basedOn w:val="Normal"/>
    <w:rsid w:val="00481A71"/>
    <w:pPr>
      <w:spacing w:after="0" w:line="312" w:lineRule="auto"/>
      <w:jc w:val="center"/>
    </w:pPr>
    <w:rPr>
      <w:rFonts w:ascii="Century Gothic" w:eastAsia="Times New Roman" w:hAnsi="Century Gothic" w:cs="Times New Roman"/>
      <w:sz w:val="20"/>
      <w:szCs w:val="20"/>
    </w:rPr>
  </w:style>
  <w:style w:type="paragraph" w:customStyle="1" w:styleId="NoteText">
    <w:name w:val="Note Text"/>
    <w:basedOn w:val="Normal"/>
    <w:rsid w:val="00481A71"/>
    <w:pPr>
      <w:spacing w:after="240" w:line="240" w:lineRule="auto"/>
    </w:pPr>
    <w:rPr>
      <w:rFonts w:ascii="Arial" w:eastAsia="Calibri" w:hAnsi="Arial" w:cs="Times New Roman"/>
      <w:iCs/>
      <w:sz w:val="20"/>
    </w:rPr>
  </w:style>
  <w:style w:type="character" w:customStyle="1" w:styleId="Heading5Char">
    <w:name w:val="Heading 5 Char"/>
    <w:basedOn w:val="DefaultParagraphFont"/>
    <w:link w:val="Heading5"/>
    <w:uiPriority w:val="9"/>
    <w:rsid w:val="0096478F"/>
    <w:rPr>
      <w:rFonts w:asciiTheme="majorHAnsi" w:eastAsiaTheme="majorEastAsia" w:hAnsiTheme="majorHAnsi" w:cstheme="majorBidi"/>
      <w:b/>
      <w:bCs/>
      <w:caps/>
      <w:color w:val="1C3867" w:themeColor="text2"/>
      <w:szCs w:val="26"/>
    </w:rPr>
  </w:style>
  <w:style w:type="character" w:customStyle="1" w:styleId="Heading6Char">
    <w:name w:val="Heading 6 Char"/>
    <w:basedOn w:val="DefaultParagraphFont"/>
    <w:link w:val="Heading6"/>
    <w:uiPriority w:val="9"/>
    <w:rsid w:val="0096478F"/>
    <w:rPr>
      <w:rFonts w:asciiTheme="majorHAnsi" w:eastAsiaTheme="majorEastAsia" w:hAnsiTheme="majorHAnsi" w:cstheme="majorBidi"/>
      <w:b/>
      <w:bCs/>
    </w:rPr>
  </w:style>
  <w:style w:type="paragraph" w:styleId="ListBullet">
    <w:name w:val="List Bullet"/>
    <w:basedOn w:val="Normal"/>
    <w:uiPriority w:val="99"/>
    <w:unhideWhenUsed/>
    <w:qFormat/>
    <w:rsid w:val="00D04995"/>
    <w:pPr>
      <w:numPr>
        <w:numId w:val="2"/>
      </w:numPr>
    </w:pPr>
  </w:style>
  <w:style w:type="character" w:styleId="Emphasis">
    <w:name w:val="Emphasis"/>
    <w:basedOn w:val="DefaultParagraphFont"/>
    <w:uiPriority w:val="20"/>
    <w:qFormat/>
    <w:rsid w:val="003F48A6"/>
    <w:rPr>
      <w:i/>
      <w:iCs/>
    </w:rPr>
  </w:style>
  <w:style w:type="paragraph" w:customStyle="1" w:styleId="RecommendationText">
    <w:name w:val="Recommendation Text"/>
    <w:basedOn w:val="Normal"/>
    <w:rsid w:val="00481A71"/>
    <w:pPr>
      <w:spacing w:after="240" w:line="240" w:lineRule="auto"/>
      <w:ind w:left="567"/>
    </w:pPr>
    <w:rPr>
      <w:rFonts w:ascii="Arial" w:hAnsi="Arial"/>
      <w:i/>
      <w:iCs/>
      <w:lang w:val="en-US"/>
    </w:rPr>
  </w:style>
  <w:style w:type="table" w:customStyle="1" w:styleId="LightList-Accent12">
    <w:name w:val="Light List - Accent 12"/>
    <w:basedOn w:val="TableNormal"/>
    <w:rsid w:val="00481A7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jc w:val="left"/>
      </w:pPr>
      <w:rPr>
        <w:b/>
        <w:bCs/>
        <w:color w:val="FFFFFF" w:themeColor="background1"/>
      </w:rPr>
      <w:tblPr/>
      <w:tcPr>
        <w:shd w:val="clear" w:color="auto" w:fill="1C3867" w:themeFill="text2"/>
      </w:tcPr>
    </w:tblStylePr>
    <w:tblStylePr w:type="lastRow">
      <w:pPr>
        <w:spacing w:before="0" w:after="0" w:line="240" w:lineRule="auto"/>
      </w:pPr>
      <w:rPr>
        <w:b/>
        <w:bCs/>
      </w:rPr>
      <w:tblPr/>
      <w:tcPr>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styleId="BodyTextIndent">
    <w:name w:val="Body Text Indent"/>
    <w:basedOn w:val="Normal"/>
    <w:link w:val="BodyTextIndentChar"/>
    <w:rsid w:val="00481A71"/>
    <w:pPr>
      <w:spacing w:after="120" w:line="240" w:lineRule="auto"/>
      <w:ind w:left="283"/>
    </w:pPr>
    <w:rPr>
      <w:rFonts w:ascii="Arial" w:eastAsia="Times New Roman" w:hAnsi="Arial" w:cs="Times New Roman"/>
      <w:szCs w:val="20"/>
    </w:rPr>
  </w:style>
  <w:style w:type="character" w:customStyle="1" w:styleId="BodyTextIndentChar">
    <w:name w:val="Body Text Indent Char"/>
    <w:basedOn w:val="DefaultParagraphFont"/>
    <w:link w:val="BodyTextIndent"/>
    <w:rsid w:val="00481A71"/>
    <w:rPr>
      <w:rFonts w:ascii="Arial" w:eastAsia="Times New Roman" w:hAnsi="Arial" w:cs="Times New Roman"/>
      <w:szCs w:val="20"/>
    </w:rPr>
  </w:style>
  <w:style w:type="table" w:styleId="TableGrid">
    <w:name w:val="Table Grid"/>
    <w:basedOn w:val="TableNormal"/>
    <w:uiPriority w:val="59"/>
    <w:rsid w:val="00481A71"/>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rsid w:val="005672D8"/>
    <w:pPr>
      <w:spacing w:before="0" w:after="80" w:line="240" w:lineRule="auto"/>
    </w:pPr>
    <w:rPr>
      <w:rFonts w:ascii="Calibri Light" w:eastAsia="Times New Roman" w:hAnsi="Calibri Light" w:cs="Times New Roman"/>
      <w:iCs/>
      <w:color w:val="85754E" w:themeColor="background2"/>
      <w:spacing w:val="10"/>
      <w:sz w:val="52"/>
      <w:szCs w:val="48"/>
      <w:lang w:bidi="en-US"/>
    </w:rPr>
  </w:style>
  <w:style w:type="character" w:customStyle="1" w:styleId="TitleChar">
    <w:name w:val="Title Char"/>
    <w:basedOn w:val="DefaultParagraphFont"/>
    <w:link w:val="Title"/>
    <w:uiPriority w:val="10"/>
    <w:rsid w:val="005672D8"/>
    <w:rPr>
      <w:rFonts w:ascii="Calibri Light" w:eastAsia="Times New Roman" w:hAnsi="Calibri Light" w:cs="Times New Roman"/>
      <w:iCs/>
      <w:color w:val="85754E" w:themeColor="background2"/>
      <w:spacing w:val="10"/>
      <w:sz w:val="52"/>
      <w:szCs w:val="48"/>
      <w:lang w:bidi="en-US"/>
    </w:rPr>
  </w:style>
  <w:style w:type="paragraph" w:customStyle="1" w:styleId="Default">
    <w:name w:val="Default"/>
    <w:rsid w:val="00481A71"/>
    <w:pPr>
      <w:autoSpaceDE w:val="0"/>
      <w:autoSpaceDN w:val="0"/>
      <w:adjustRightInd w:val="0"/>
      <w:spacing w:after="0" w:line="240" w:lineRule="auto"/>
    </w:pPr>
    <w:rPr>
      <w:rFonts w:ascii="Trajan" w:eastAsia="Calibri" w:hAnsi="Trajan" w:cs="Trajan"/>
      <w:color w:val="000000"/>
      <w:sz w:val="24"/>
      <w:szCs w:val="24"/>
    </w:rPr>
  </w:style>
  <w:style w:type="paragraph" w:styleId="BalloonText">
    <w:name w:val="Balloon Text"/>
    <w:basedOn w:val="Normal"/>
    <w:link w:val="BalloonTextChar"/>
    <w:uiPriority w:val="99"/>
    <w:semiHidden/>
    <w:unhideWhenUsed/>
    <w:rsid w:val="00481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A71"/>
    <w:rPr>
      <w:rFonts w:ascii="Tahoma" w:hAnsi="Tahoma" w:cs="Tahoma"/>
      <w:sz w:val="16"/>
      <w:szCs w:val="16"/>
    </w:rPr>
  </w:style>
  <w:style w:type="character" w:styleId="CommentReference">
    <w:name w:val="annotation reference"/>
    <w:basedOn w:val="DefaultParagraphFont"/>
    <w:uiPriority w:val="99"/>
    <w:semiHidden/>
    <w:unhideWhenUsed/>
    <w:rsid w:val="00481A71"/>
    <w:rPr>
      <w:sz w:val="16"/>
      <w:szCs w:val="16"/>
    </w:rPr>
  </w:style>
  <w:style w:type="paragraph" w:styleId="CommentText">
    <w:name w:val="annotation text"/>
    <w:basedOn w:val="Normal"/>
    <w:link w:val="CommentTextChar"/>
    <w:uiPriority w:val="99"/>
    <w:unhideWhenUsed/>
    <w:rsid w:val="00481A71"/>
    <w:pPr>
      <w:spacing w:line="240" w:lineRule="auto"/>
    </w:pPr>
    <w:rPr>
      <w:sz w:val="20"/>
      <w:szCs w:val="20"/>
    </w:rPr>
  </w:style>
  <w:style w:type="character" w:customStyle="1" w:styleId="CommentTextChar">
    <w:name w:val="Comment Text Char"/>
    <w:basedOn w:val="DefaultParagraphFont"/>
    <w:link w:val="CommentText"/>
    <w:uiPriority w:val="99"/>
    <w:rsid w:val="00481A71"/>
    <w:rPr>
      <w:sz w:val="20"/>
      <w:szCs w:val="20"/>
    </w:rPr>
  </w:style>
  <w:style w:type="paragraph" w:styleId="CommentSubject">
    <w:name w:val="annotation subject"/>
    <w:basedOn w:val="CommentText"/>
    <w:next w:val="CommentText"/>
    <w:link w:val="CommentSubjectChar"/>
    <w:uiPriority w:val="99"/>
    <w:semiHidden/>
    <w:unhideWhenUsed/>
    <w:rsid w:val="00481A71"/>
    <w:rPr>
      <w:b/>
      <w:bCs/>
    </w:rPr>
  </w:style>
  <w:style w:type="character" w:customStyle="1" w:styleId="CommentSubjectChar">
    <w:name w:val="Comment Subject Char"/>
    <w:basedOn w:val="CommentTextChar"/>
    <w:link w:val="CommentSubject"/>
    <w:uiPriority w:val="99"/>
    <w:semiHidden/>
    <w:rsid w:val="00481A71"/>
    <w:rPr>
      <w:b/>
      <w:bCs/>
      <w:sz w:val="20"/>
      <w:szCs w:val="20"/>
    </w:rPr>
  </w:style>
  <w:style w:type="character" w:styleId="PlaceholderText">
    <w:name w:val="Placeholder Text"/>
    <w:basedOn w:val="DefaultParagraphFont"/>
    <w:uiPriority w:val="99"/>
    <w:rsid w:val="00481A71"/>
    <w:rPr>
      <w:color w:val="808080"/>
    </w:rPr>
  </w:style>
  <w:style w:type="table" w:customStyle="1" w:styleId="LightList-Accent13">
    <w:name w:val="Light List - Accent 13"/>
    <w:basedOn w:val="TableNormal"/>
    <w:uiPriority w:val="61"/>
    <w:rsid w:val="009A1740"/>
    <w:pPr>
      <w:spacing w:after="0" w:line="240" w:lineRule="auto"/>
    </w:pPr>
    <w:tblPr>
      <w:tblStyleRowBandSize w:val="1"/>
      <w:tblStyleColBandSize w:val="1"/>
      <w:tblBorders>
        <w:top w:val="single" w:sz="8" w:space="0" w:color="1C3867" w:themeColor="accent1"/>
        <w:left w:val="single" w:sz="8" w:space="0" w:color="1C3867" w:themeColor="accent1"/>
        <w:bottom w:val="single" w:sz="8" w:space="0" w:color="1C3867" w:themeColor="accent1"/>
        <w:right w:val="single" w:sz="8" w:space="0" w:color="1C3867" w:themeColor="accent1"/>
      </w:tblBorders>
    </w:tblPr>
    <w:tblStylePr w:type="firstRow">
      <w:pPr>
        <w:spacing w:before="0" w:after="0" w:line="240" w:lineRule="auto"/>
      </w:pPr>
      <w:rPr>
        <w:b/>
        <w:bCs/>
        <w:color w:val="FFFFFF" w:themeColor="background1"/>
      </w:rPr>
      <w:tblPr/>
      <w:tcPr>
        <w:shd w:val="clear" w:color="auto" w:fill="1C3867" w:themeFill="accent1"/>
      </w:tcPr>
    </w:tblStylePr>
    <w:tblStylePr w:type="lastRow">
      <w:pPr>
        <w:spacing w:before="0" w:after="0" w:line="240" w:lineRule="auto"/>
      </w:pPr>
      <w:rPr>
        <w:b/>
        <w:bCs/>
      </w:rPr>
      <w:tblPr/>
      <w:tcPr>
        <w:tcBorders>
          <w:top w:val="double" w:sz="6" w:space="0" w:color="1C3867" w:themeColor="accent1"/>
          <w:left w:val="single" w:sz="8" w:space="0" w:color="1C3867" w:themeColor="accent1"/>
          <w:bottom w:val="single" w:sz="8" w:space="0" w:color="1C3867" w:themeColor="accent1"/>
          <w:right w:val="single" w:sz="8" w:space="0" w:color="1C3867" w:themeColor="accent1"/>
        </w:tcBorders>
      </w:tcPr>
    </w:tblStylePr>
    <w:tblStylePr w:type="firstCol">
      <w:rPr>
        <w:b/>
        <w:bCs/>
      </w:rPr>
    </w:tblStylePr>
    <w:tblStylePr w:type="lastCol">
      <w:rPr>
        <w:b/>
        <w:bCs/>
      </w:rPr>
    </w:tblStylePr>
    <w:tblStylePr w:type="band1Vert">
      <w:tblPr/>
      <w:tcPr>
        <w:tcBorders>
          <w:top w:val="single" w:sz="8" w:space="0" w:color="1C3867" w:themeColor="accent1"/>
          <w:left w:val="single" w:sz="8" w:space="0" w:color="1C3867" w:themeColor="accent1"/>
          <w:bottom w:val="single" w:sz="8" w:space="0" w:color="1C3867" w:themeColor="accent1"/>
          <w:right w:val="single" w:sz="8" w:space="0" w:color="1C3867" w:themeColor="accent1"/>
        </w:tcBorders>
      </w:tcPr>
    </w:tblStylePr>
    <w:tblStylePr w:type="band1Horz">
      <w:tblPr/>
      <w:tcPr>
        <w:tcBorders>
          <w:top w:val="single" w:sz="8" w:space="0" w:color="1C3867" w:themeColor="accent1"/>
          <w:left w:val="single" w:sz="8" w:space="0" w:color="1C3867" w:themeColor="accent1"/>
          <w:bottom w:val="single" w:sz="8" w:space="0" w:color="1C3867" w:themeColor="accent1"/>
          <w:right w:val="single" w:sz="8" w:space="0" w:color="1C3867" w:themeColor="accent1"/>
        </w:tcBorders>
      </w:tcPr>
    </w:tblStylePr>
  </w:style>
  <w:style w:type="table" w:customStyle="1" w:styleId="LightList-Accent111">
    <w:name w:val="Light List - Accent 111"/>
    <w:basedOn w:val="TableNormal"/>
    <w:rsid w:val="00A933B9"/>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pPr>
      <w:rPr>
        <w:b/>
        <w:bCs/>
        <w:color w:val="FFFFFF" w:themeColor="background1"/>
      </w:rPr>
      <w:tblPr/>
      <w:tcPr>
        <w:shd w:val="clear" w:color="auto" w:fill="1C3867" w:themeFill="text2"/>
      </w:tcPr>
    </w:tblStylePr>
    <w:tblStylePr w:type="lastRow">
      <w:pPr>
        <w:spacing w:before="0" w:after="0" w:line="240" w:lineRule="auto"/>
      </w:pPr>
      <w:rPr>
        <w:b/>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styleId="NoSpacing">
    <w:name w:val="No Spacing"/>
    <w:basedOn w:val="Normal"/>
    <w:link w:val="NoSpacingChar"/>
    <w:uiPriority w:val="1"/>
    <w:qFormat/>
    <w:rsid w:val="00A933B9"/>
    <w:pPr>
      <w:spacing w:after="0" w:line="240" w:lineRule="auto"/>
    </w:pPr>
    <w:rPr>
      <w:iCs/>
      <w:szCs w:val="20"/>
      <w:lang w:eastAsia="en-US"/>
    </w:rPr>
  </w:style>
  <w:style w:type="character" w:customStyle="1" w:styleId="NoSpacingChar">
    <w:name w:val="No Spacing Char"/>
    <w:basedOn w:val="DefaultParagraphFont"/>
    <w:link w:val="NoSpacing"/>
    <w:uiPriority w:val="1"/>
    <w:rsid w:val="00A933B9"/>
    <w:rPr>
      <w:iCs/>
      <w:szCs w:val="20"/>
      <w:lang w:eastAsia="en-US"/>
    </w:rPr>
  </w:style>
  <w:style w:type="table" w:customStyle="1" w:styleId="LightList-Accent121">
    <w:name w:val="Light List - Accent 121"/>
    <w:basedOn w:val="TableNormal"/>
    <w:rsid w:val="00CF779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Pr>
    <w:tblStylePr w:type="firstRow">
      <w:pPr>
        <w:spacing w:before="0" w:after="0" w:line="240" w:lineRule="auto"/>
        <w:jc w:val="left"/>
      </w:pPr>
      <w:rPr>
        <w:b/>
        <w:bCs/>
        <w:color w:val="FFFFFF"/>
      </w:rPr>
      <w:tblPr/>
      <w:tcPr>
        <w:shd w:val="clear" w:color="auto" w:fill="1F497D"/>
      </w:tcPr>
    </w:tblStylePr>
    <w:tblStylePr w:type="lastRow">
      <w:pPr>
        <w:spacing w:before="0" w:after="0" w:line="240" w:lineRule="auto"/>
      </w:pPr>
      <w:rPr>
        <w:b/>
        <w:bCs/>
      </w:rPr>
      <w:tblPr/>
      <w:tcPr>
        <w:shd w:val="clear" w:color="auto" w:fill="C6D9F1"/>
      </w:tcPr>
    </w:tblStylePr>
    <w:tblStylePr w:type="fir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la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style>
  <w:style w:type="table" w:customStyle="1" w:styleId="LightList-Accent112">
    <w:name w:val="Light List - Accent 112"/>
    <w:basedOn w:val="TableNormal"/>
    <w:rsid w:val="005970B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pPr>
      <w:rPr>
        <w:b/>
        <w:bCs/>
        <w:color w:val="FFFFFF" w:themeColor="background1"/>
      </w:rPr>
      <w:tblPr/>
      <w:tcPr>
        <w:shd w:val="clear" w:color="auto" w:fill="1C3867" w:themeFill="text2"/>
      </w:tcPr>
    </w:tblStylePr>
    <w:tblStylePr w:type="lastRow">
      <w:pPr>
        <w:spacing w:before="0" w:after="0" w:line="240" w:lineRule="auto"/>
      </w:pPr>
      <w:rPr>
        <w:b/>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styleId="ListNumber">
    <w:name w:val="List Number"/>
    <w:basedOn w:val="Normal"/>
    <w:uiPriority w:val="99"/>
    <w:unhideWhenUsed/>
    <w:qFormat/>
    <w:rsid w:val="003F48A6"/>
    <w:pPr>
      <w:numPr>
        <w:numId w:val="4"/>
      </w:numPr>
      <w:contextualSpacing/>
    </w:pPr>
  </w:style>
  <w:style w:type="paragraph" w:customStyle="1" w:styleId="Spacer-1px">
    <w:name w:val="Spacer - 1px"/>
    <w:basedOn w:val="Normal"/>
    <w:rsid w:val="000F52AB"/>
    <w:pPr>
      <w:spacing w:before="0" w:after="0" w:line="240" w:lineRule="auto"/>
    </w:pPr>
    <w:rPr>
      <w:noProof/>
      <w:sz w:val="2"/>
      <w:szCs w:val="2"/>
    </w:rPr>
  </w:style>
  <w:style w:type="paragraph" w:styleId="Subtitle">
    <w:name w:val="Subtitle"/>
    <w:basedOn w:val="Normal"/>
    <w:next w:val="Normal"/>
    <w:link w:val="SubtitleChar"/>
    <w:uiPriority w:val="11"/>
    <w:qFormat/>
    <w:rsid w:val="00F07E81"/>
    <w:pPr>
      <w:spacing w:before="60" w:after="0" w:line="216" w:lineRule="auto"/>
    </w:pPr>
    <w:rPr>
      <w:sz w:val="23"/>
    </w:rPr>
  </w:style>
  <w:style w:type="character" w:customStyle="1" w:styleId="SubtitleChar">
    <w:name w:val="Subtitle Char"/>
    <w:basedOn w:val="DefaultParagraphFont"/>
    <w:link w:val="Subtitle"/>
    <w:uiPriority w:val="11"/>
    <w:rsid w:val="00F07E81"/>
    <w:rPr>
      <w:sz w:val="23"/>
    </w:rPr>
  </w:style>
  <w:style w:type="paragraph" w:customStyle="1" w:styleId="Spacer-cover">
    <w:name w:val="Spacer - cover"/>
    <w:basedOn w:val="Normal"/>
    <w:rsid w:val="005672D8"/>
    <w:pPr>
      <w:spacing w:after="9960"/>
    </w:pPr>
  </w:style>
  <w:style w:type="paragraph" w:customStyle="1" w:styleId="Coverservicesboxtext">
    <w:name w:val="Cover services box text"/>
    <w:basedOn w:val="Normal"/>
    <w:rsid w:val="00546F37"/>
    <w:pPr>
      <w:spacing w:before="0" w:after="0"/>
      <w:jc w:val="center"/>
    </w:pPr>
    <w:rPr>
      <w:b/>
      <w:caps/>
      <w:color w:val="FFFFFF" w:themeColor="background1"/>
      <w:sz w:val="27"/>
      <w:szCs w:val="27"/>
    </w:rPr>
  </w:style>
  <w:style w:type="paragraph" w:customStyle="1" w:styleId="Covercontactdetails">
    <w:name w:val="Cover contact details"/>
    <w:basedOn w:val="Normal"/>
    <w:rsid w:val="00050628"/>
    <w:pPr>
      <w:spacing w:before="0" w:after="0" w:line="240" w:lineRule="auto"/>
      <w:ind w:left="-142" w:right="-228"/>
      <w:jc w:val="center"/>
    </w:pPr>
    <w:rPr>
      <w:rFonts w:ascii="Calibri Light" w:hAnsi="Calibri Light"/>
      <w:sz w:val="21"/>
      <w:szCs w:val="21"/>
    </w:rPr>
  </w:style>
  <w:style w:type="paragraph" w:customStyle="1" w:styleId="Covercontactheading">
    <w:name w:val="Cover contact heading"/>
    <w:basedOn w:val="Covercontactdetails"/>
    <w:rsid w:val="00050628"/>
    <w:rPr>
      <w:sz w:val="23"/>
      <w:szCs w:val="23"/>
    </w:rPr>
  </w:style>
  <w:style w:type="character" w:customStyle="1" w:styleId="BoldBlue">
    <w:name w:val="Bold + Blue"/>
    <w:basedOn w:val="DefaultParagraphFont"/>
    <w:uiPriority w:val="1"/>
    <w:qFormat/>
    <w:rsid w:val="00050628"/>
    <w:rPr>
      <w:b/>
      <w:color w:val="1C3867" w:themeColor="text2"/>
    </w:rPr>
  </w:style>
  <w:style w:type="character" w:customStyle="1" w:styleId="Blue">
    <w:name w:val="Blue"/>
    <w:basedOn w:val="DefaultParagraphFont"/>
    <w:uiPriority w:val="1"/>
    <w:qFormat/>
    <w:rsid w:val="00D9079F"/>
    <w:rPr>
      <w:color w:val="1C3867" w:themeColor="text2"/>
    </w:rPr>
  </w:style>
  <w:style w:type="paragraph" w:customStyle="1" w:styleId="Coverheader">
    <w:name w:val="Cover header"/>
    <w:basedOn w:val="Header"/>
    <w:rsid w:val="00076007"/>
    <w:pPr>
      <w:ind w:right="0"/>
    </w:pPr>
    <w:rPr>
      <w:noProof/>
    </w:rPr>
  </w:style>
  <w:style w:type="character" w:styleId="PageNumber">
    <w:name w:val="page number"/>
    <w:uiPriority w:val="99"/>
    <w:unhideWhenUsed/>
    <w:rsid w:val="00B27AAF"/>
    <w:rPr>
      <w:color w:val="1C3867" w:themeColor="text2"/>
    </w:rPr>
  </w:style>
  <w:style w:type="paragraph" w:customStyle="1" w:styleId="CoverpageTitle">
    <w:name w:val="Coverpage Title"/>
    <w:basedOn w:val="Normal"/>
    <w:rsid w:val="003F65C3"/>
    <w:pPr>
      <w:spacing w:after="240"/>
    </w:pPr>
    <w:rPr>
      <w:rFonts w:ascii="Calibri Light" w:hAnsi="Calibri Light"/>
      <w:sz w:val="64"/>
      <w:szCs w:val="64"/>
    </w:rPr>
  </w:style>
  <w:style w:type="paragraph" w:customStyle="1" w:styleId="CoverpageSubtitle">
    <w:name w:val="Coverpage Subtitle"/>
    <w:basedOn w:val="Normal"/>
    <w:rsid w:val="00D467FF"/>
    <w:pPr>
      <w:spacing w:before="0" w:after="120" w:line="240" w:lineRule="auto"/>
      <w:ind w:right="346"/>
    </w:pPr>
    <w:rPr>
      <w:rFonts w:ascii="Calibri Light" w:eastAsia="Times New Roman" w:hAnsi="Calibri Light" w:cs="Times New Roman"/>
      <w:noProof/>
      <w:sz w:val="26"/>
      <w:szCs w:val="26"/>
      <w:lang w:val="en-US"/>
    </w:rPr>
  </w:style>
  <w:style w:type="paragraph" w:customStyle="1" w:styleId="CoverpageContactDetails">
    <w:name w:val="Coverpage Contact Details"/>
    <w:basedOn w:val="Normal"/>
    <w:rsid w:val="00D467FF"/>
    <w:pPr>
      <w:tabs>
        <w:tab w:val="left" w:pos="882"/>
      </w:tabs>
      <w:spacing w:before="0" w:after="120" w:line="240" w:lineRule="auto"/>
    </w:pPr>
    <w:rPr>
      <w:rFonts w:ascii="Calibri" w:eastAsia="Times New Roman" w:hAnsi="Calibri" w:cs="Times New Roman"/>
      <w:szCs w:val="20"/>
      <w:lang w:val="en-US"/>
    </w:rPr>
  </w:style>
  <w:style w:type="paragraph" w:styleId="TOCHeading">
    <w:name w:val="TOC Heading"/>
    <w:basedOn w:val="Normal"/>
    <w:next w:val="Normal"/>
    <w:uiPriority w:val="39"/>
    <w:unhideWhenUsed/>
    <w:rsid w:val="00546F37"/>
    <w:pPr>
      <w:spacing w:before="0" w:after="240" w:line="500" w:lineRule="exact"/>
    </w:pPr>
    <w:rPr>
      <w:b/>
      <w:caps/>
      <w:color w:val="1C3867" w:themeColor="text2"/>
      <w:sz w:val="48"/>
      <w:szCs w:val="48"/>
    </w:rPr>
  </w:style>
  <w:style w:type="paragraph" w:styleId="TOC1">
    <w:name w:val="toc 1"/>
    <w:basedOn w:val="DividerPageTitle"/>
    <w:next w:val="Normal"/>
    <w:autoRedefine/>
    <w:uiPriority w:val="39"/>
    <w:unhideWhenUsed/>
    <w:rsid w:val="00CB141D"/>
    <w:pPr>
      <w:pBdr>
        <w:between w:val="single" w:sz="4" w:space="1" w:color="85754E" w:themeColor="background2"/>
      </w:pBdr>
      <w:tabs>
        <w:tab w:val="right" w:pos="9072"/>
      </w:tabs>
      <w:spacing w:before="120" w:after="60"/>
      <w:ind w:left="0" w:right="1655" w:firstLine="0"/>
    </w:pPr>
    <w:rPr>
      <w:b w:val="0"/>
      <w:noProof/>
      <w:color w:val="85754E" w:themeColor="accent2"/>
      <w:sz w:val="26"/>
    </w:rPr>
  </w:style>
  <w:style w:type="character" w:styleId="Hyperlink">
    <w:name w:val="Hyperlink"/>
    <w:basedOn w:val="DefaultParagraphFont"/>
    <w:uiPriority w:val="99"/>
    <w:unhideWhenUsed/>
    <w:rsid w:val="00546F37"/>
    <w:rPr>
      <w:color w:val="414042" w:themeColor="hyperlink"/>
      <w:u w:val="single"/>
    </w:rPr>
  </w:style>
  <w:style w:type="table" w:styleId="ListTable3-Accent1">
    <w:name w:val="List Table 3 Accent 1"/>
    <w:basedOn w:val="TableNormal"/>
    <w:uiPriority w:val="48"/>
    <w:rsid w:val="00B94863"/>
    <w:pPr>
      <w:spacing w:after="0" w:line="240" w:lineRule="auto"/>
    </w:pPr>
    <w:tblPr>
      <w:tblStyleRowBandSize w:val="1"/>
      <w:tblStyleColBandSize w:val="1"/>
      <w:tblBorders>
        <w:top w:val="single" w:sz="4" w:space="0" w:color="1C3867" w:themeColor="accent1"/>
        <w:left w:val="single" w:sz="4" w:space="0" w:color="1C3867" w:themeColor="accent1"/>
        <w:bottom w:val="single" w:sz="4" w:space="0" w:color="1C3867" w:themeColor="accent1"/>
        <w:right w:val="single" w:sz="4" w:space="0" w:color="1C3867" w:themeColor="accent1"/>
      </w:tblBorders>
    </w:tblPr>
    <w:tblStylePr w:type="firstRow">
      <w:rPr>
        <w:b/>
        <w:bCs/>
        <w:color w:val="FFFFFF" w:themeColor="background1"/>
      </w:rPr>
      <w:tblPr/>
      <w:tcPr>
        <w:shd w:val="clear" w:color="auto" w:fill="1C3867" w:themeFill="accent1"/>
      </w:tcPr>
    </w:tblStylePr>
    <w:tblStylePr w:type="lastRow">
      <w:rPr>
        <w:b/>
        <w:bCs/>
      </w:rPr>
      <w:tblPr/>
      <w:tcPr>
        <w:tcBorders>
          <w:top w:val="double" w:sz="4" w:space="0" w:color="1C386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3867" w:themeColor="accent1"/>
          <w:right w:val="single" w:sz="4" w:space="0" w:color="1C3867" w:themeColor="accent1"/>
        </w:tcBorders>
      </w:tcPr>
    </w:tblStylePr>
    <w:tblStylePr w:type="band1Horz">
      <w:tblPr/>
      <w:tcPr>
        <w:tcBorders>
          <w:top w:val="single" w:sz="4" w:space="0" w:color="1C3867" w:themeColor="accent1"/>
          <w:bottom w:val="single" w:sz="4" w:space="0" w:color="1C386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3867" w:themeColor="accent1"/>
          <w:left w:val="nil"/>
        </w:tcBorders>
      </w:tcPr>
    </w:tblStylePr>
    <w:tblStylePr w:type="swCell">
      <w:tblPr/>
      <w:tcPr>
        <w:tcBorders>
          <w:top w:val="double" w:sz="4" w:space="0" w:color="1C3867" w:themeColor="accent1"/>
          <w:right w:val="nil"/>
        </w:tcBorders>
      </w:tcPr>
    </w:tblStylePr>
  </w:style>
  <w:style w:type="table" w:customStyle="1" w:styleId="HNWTable01">
    <w:name w:val="HNW Table 01"/>
    <w:basedOn w:val="TableNormal"/>
    <w:uiPriority w:val="99"/>
    <w:rsid w:val="00EC6793"/>
    <w:pPr>
      <w:spacing w:before="40" w:after="40"/>
    </w:pPr>
    <w:tblPr>
      <w:tblBorders>
        <w:bottom w:val="single" w:sz="4" w:space="0" w:color="85754E" w:themeColor="background2"/>
        <w:insideH w:val="single" w:sz="4" w:space="0" w:color="85754E" w:themeColor="background2"/>
      </w:tblBorders>
    </w:tblPr>
    <w:tblStylePr w:type="firstRow">
      <w:rPr>
        <w:b/>
        <w:color w:val="FFFFFF" w:themeColor="background1"/>
      </w:rPr>
      <w:tblPr>
        <w:tblCellMar>
          <w:top w:w="0" w:type="dxa"/>
          <w:left w:w="85" w:type="dxa"/>
          <w:bottom w:w="0" w:type="dxa"/>
          <w:right w:w="85" w:type="dxa"/>
        </w:tblCellMar>
      </w:tblPr>
      <w:tcPr>
        <w:tcBorders>
          <w:top w:val="nil"/>
          <w:left w:val="nil"/>
          <w:bottom w:val="nil"/>
          <w:right w:val="nil"/>
          <w:insideH w:val="nil"/>
          <w:insideV w:val="single" w:sz="4" w:space="0" w:color="FFFFFF" w:themeColor="background1"/>
          <w:tl2br w:val="nil"/>
          <w:tr2bl w:val="nil"/>
        </w:tcBorders>
        <w:shd w:val="clear" w:color="auto" w:fill="1C3867" w:themeFill="text2"/>
      </w:tcPr>
    </w:tblStylePr>
    <w:tblStylePr w:type="lastRow">
      <w:rPr>
        <w:b/>
      </w:rPr>
      <w:tblPr/>
      <w:tcPr>
        <w:tcBorders>
          <w:bottom w:val="single" w:sz="4" w:space="0" w:color="85754E" w:themeColor="background2"/>
        </w:tcBorders>
        <w:shd w:val="clear" w:color="auto" w:fill="F3F1ED" w:themeFill="accent6"/>
      </w:tcPr>
    </w:tblStylePr>
    <w:tblStylePr w:type="firstCol">
      <w:rPr>
        <w:b/>
        <w:color w:val="FFFFFF" w:themeColor="background1"/>
      </w:rPr>
      <w:tblPr/>
      <w:tcPr>
        <w:tcBorders>
          <w:bottom w:val="nil"/>
          <w:insideH w:val="dotted" w:sz="4" w:space="0" w:color="FFFFFF" w:themeColor="background1"/>
        </w:tcBorders>
        <w:shd w:val="clear" w:color="auto" w:fill="1C3867" w:themeFill="text2"/>
      </w:tcPr>
    </w:tblStylePr>
  </w:style>
  <w:style w:type="paragraph" w:customStyle="1" w:styleId="DividerPageTitle">
    <w:name w:val="Divider Page Title"/>
    <w:basedOn w:val="Title"/>
    <w:qFormat/>
    <w:rsid w:val="00AE7144"/>
    <w:pPr>
      <w:ind w:left="4536" w:right="-472" w:hanging="4962"/>
    </w:pPr>
    <w:rPr>
      <w:rFonts w:asciiTheme="majorHAnsi" w:hAnsiTheme="majorHAnsi"/>
      <w:b/>
    </w:rPr>
  </w:style>
  <w:style w:type="paragraph" w:styleId="ListNumber2">
    <w:name w:val="List Number 2"/>
    <w:basedOn w:val="Normal"/>
    <w:uiPriority w:val="99"/>
    <w:unhideWhenUsed/>
    <w:qFormat/>
    <w:rsid w:val="000B4975"/>
    <w:pPr>
      <w:numPr>
        <w:numId w:val="5"/>
      </w:numPr>
      <w:ind w:left="714" w:hanging="357"/>
      <w:contextualSpacing/>
    </w:pPr>
  </w:style>
  <w:style w:type="paragraph" w:styleId="ListBullet2">
    <w:name w:val="List Bullet 2"/>
    <w:basedOn w:val="Normal"/>
    <w:uiPriority w:val="99"/>
    <w:unhideWhenUsed/>
    <w:qFormat/>
    <w:rsid w:val="000B4975"/>
    <w:pPr>
      <w:numPr>
        <w:numId w:val="3"/>
      </w:numPr>
      <w:ind w:left="714" w:hanging="357"/>
      <w:contextualSpacing/>
    </w:pPr>
  </w:style>
  <w:style w:type="paragraph" w:customStyle="1" w:styleId="DividerPageNumber">
    <w:name w:val="Divider Page Number"/>
    <w:basedOn w:val="DividerPageTitle"/>
    <w:qFormat/>
    <w:rsid w:val="003C5147"/>
    <w:pPr>
      <w:spacing w:before="240" w:after="0"/>
    </w:pPr>
    <w:rPr>
      <w:rFonts w:ascii="Calibri Light" w:hAnsi="Calibri Light"/>
      <w:b w:val="0"/>
      <w:color w:val="C2B8A4" w:themeColor="accent6" w:themeShade="BF"/>
      <w:sz w:val="100"/>
      <w:szCs w:val="100"/>
    </w:rPr>
  </w:style>
  <w:style w:type="paragraph" w:styleId="TOC2">
    <w:name w:val="toc 2"/>
    <w:basedOn w:val="Normal"/>
    <w:next w:val="Normal"/>
    <w:autoRedefine/>
    <w:uiPriority w:val="39"/>
    <w:unhideWhenUsed/>
    <w:rsid w:val="00CB141D"/>
    <w:pPr>
      <w:tabs>
        <w:tab w:val="right" w:pos="7371"/>
      </w:tabs>
      <w:ind w:left="220" w:right="1655"/>
    </w:pPr>
  </w:style>
  <w:style w:type="table" w:customStyle="1" w:styleId="LightList-Accent113">
    <w:name w:val="Light List - Accent 113"/>
    <w:basedOn w:val="TableNormal"/>
    <w:rsid w:val="00EA5C5F"/>
    <w:pPr>
      <w:spacing w:before="0" w:after="0" w:line="240" w:lineRule="auto"/>
    </w:pPr>
    <w:rPr>
      <w:rFonts w:ascii="Calibri" w:eastAsia="Times New Roman" w:hAnsi="Calibri" w:cs="Times New Roman"/>
      <w:color w:val="auto"/>
      <w:sz w:val="20"/>
      <w:szCs w:val="20"/>
      <w:lang w:val="en-US"/>
    </w:rPr>
    <w:tblPr>
      <w:tblStyleRowBandSize w:val="1"/>
      <w:tblStyleColBandSize w:val="1"/>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Pr>
    <w:tblStylePr w:type="firstRow">
      <w:pPr>
        <w:spacing w:before="0" w:after="0" w:line="240" w:lineRule="auto"/>
      </w:pPr>
      <w:rPr>
        <w:b/>
        <w:bCs/>
        <w:color w:val="FFFFFF"/>
      </w:rPr>
      <w:tblPr/>
      <w:tcPr>
        <w:shd w:val="clear" w:color="auto" w:fill="1F497D"/>
      </w:tcPr>
    </w:tblStylePr>
    <w:tblStylePr w:type="lastRow">
      <w:pPr>
        <w:spacing w:before="0" w:after="0" w:line="240" w:lineRule="auto"/>
      </w:pPr>
      <w:rPr>
        <w:b/>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shd w:val="clear" w:color="auto" w:fill="C6D9F1"/>
      </w:tcPr>
    </w:tblStylePr>
    <w:tblStylePr w:type="fir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la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style>
  <w:style w:type="character" w:styleId="SubtleEmphasis">
    <w:name w:val="Subtle Emphasis"/>
    <w:uiPriority w:val="19"/>
    <w:qFormat/>
    <w:rsid w:val="00EA5C5F"/>
    <w:rPr>
      <w:i/>
      <w:iCs/>
      <w:color w:val="0E1B33" w:themeColor="accent1" w:themeShade="7F"/>
    </w:rPr>
  </w:style>
  <w:style w:type="paragraph" w:customStyle="1" w:styleId="gmail-msolistparagraph">
    <w:name w:val="gmail-msolistparagraph"/>
    <w:basedOn w:val="Normal"/>
    <w:rsid w:val="00205A1C"/>
    <w:pPr>
      <w:spacing w:beforeAutospacing="1" w:afterAutospacing="1" w:line="240" w:lineRule="auto"/>
    </w:pPr>
    <w:rPr>
      <w:rFonts w:ascii="Calibri" w:eastAsiaTheme="minorHAnsi" w:hAnsi="Calibri" w:cs="Calibri"/>
      <w:color w:val="auto"/>
    </w:rPr>
  </w:style>
  <w:style w:type="paragraph" w:styleId="NormalWeb">
    <w:name w:val="Normal (Web)"/>
    <w:basedOn w:val="Normal"/>
    <w:uiPriority w:val="99"/>
    <w:semiHidden/>
    <w:unhideWhenUsed/>
    <w:rsid w:val="003352E4"/>
    <w:pPr>
      <w:spacing w:beforeAutospacing="1" w:afterAutospacing="1" w:line="240" w:lineRule="auto"/>
    </w:pPr>
    <w:rPr>
      <w:rFonts w:ascii="Times New Roman" w:eastAsia="Times New Roman" w:hAnsi="Times New Roman" w:cs="Times New Roman"/>
      <w:color w:val="auto"/>
      <w:sz w:val="24"/>
      <w:szCs w:val="24"/>
    </w:rPr>
  </w:style>
  <w:style w:type="character" w:customStyle="1" w:styleId="hgkelc">
    <w:name w:val="hgkelc"/>
    <w:basedOn w:val="DefaultParagraphFont"/>
    <w:rsid w:val="00A2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0596">
      <w:bodyDiv w:val="1"/>
      <w:marLeft w:val="0"/>
      <w:marRight w:val="0"/>
      <w:marTop w:val="0"/>
      <w:marBottom w:val="0"/>
      <w:divBdr>
        <w:top w:val="none" w:sz="0" w:space="0" w:color="auto"/>
        <w:left w:val="none" w:sz="0" w:space="0" w:color="auto"/>
        <w:bottom w:val="none" w:sz="0" w:space="0" w:color="auto"/>
        <w:right w:val="none" w:sz="0" w:space="0" w:color="auto"/>
      </w:divBdr>
    </w:div>
    <w:div w:id="805590100">
      <w:bodyDiv w:val="1"/>
      <w:marLeft w:val="0"/>
      <w:marRight w:val="0"/>
      <w:marTop w:val="0"/>
      <w:marBottom w:val="0"/>
      <w:divBdr>
        <w:top w:val="none" w:sz="0" w:space="0" w:color="auto"/>
        <w:left w:val="none" w:sz="0" w:space="0" w:color="auto"/>
        <w:bottom w:val="none" w:sz="0" w:space="0" w:color="auto"/>
        <w:right w:val="none" w:sz="0" w:space="0" w:color="auto"/>
      </w:divBdr>
    </w:div>
    <w:div w:id="1083917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HNW Planning">
      <a:dk1>
        <a:srgbClr val="414042"/>
      </a:dk1>
      <a:lt1>
        <a:sysClr val="window" lastClr="FFFFFF"/>
      </a:lt1>
      <a:dk2>
        <a:srgbClr val="1C3867"/>
      </a:dk2>
      <a:lt2>
        <a:srgbClr val="85754E"/>
      </a:lt2>
      <a:accent1>
        <a:srgbClr val="1C3867"/>
      </a:accent1>
      <a:accent2>
        <a:srgbClr val="85754E"/>
      </a:accent2>
      <a:accent3>
        <a:srgbClr val="BFBFBF"/>
      </a:accent3>
      <a:accent4>
        <a:srgbClr val="D8E3F4"/>
      </a:accent4>
      <a:accent5>
        <a:srgbClr val="8FAEE1"/>
      </a:accent5>
      <a:accent6>
        <a:srgbClr val="F3F1ED"/>
      </a:accent6>
      <a:hlink>
        <a:srgbClr val="414042"/>
      </a:hlink>
      <a:folHlink>
        <a:srgbClr val="414042"/>
      </a:folHlink>
    </a:clrScheme>
    <a:fontScheme name="HNW Planning">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5ed5d80-5be2-462c-bec3-14caa38b63ef">
      <Terms xmlns="http://schemas.microsoft.com/office/infopath/2007/PartnerControls"/>
    </lcf76f155ced4ddcb4097134ff3c332f>
    <TaxCatchAll xmlns="d34886c6-c96d-4e06-9b0f-8bf2e5627e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B7E12DB769164D9B28CF2966ED06A5" ma:contentTypeVersion="22" ma:contentTypeDescription="Create a new document." ma:contentTypeScope="" ma:versionID="3037460597eb4d87dc7af47562dc9c26">
  <xsd:schema xmlns:xsd="http://www.w3.org/2001/XMLSchema" xmlns:xs="http://www.w3.org/2001/XMLSchema" xmlns:p="http://schemas.microsoft.com/office/2006/metadata/properties" xmlns:ns1="http://schemas.microsoft.com/sharepoint/v3" xmlns:ns2="05ed5d80-5be2-462c-bec3-14caa38b63ef" xmlns:ns3="d34886c6-c96d-4e06-9b0f-8bf2e5627e94" targetNamespace="http://schemas.microsoft.com/office/2006/metadata/properties" ma:root="true" ma:fieldsID="89ba00586d30f88339b979821a5fd9e8" ns1:_="" ns2:_="" ns3:_="">
    <xsd:import namespace="http://schemas.microsoft.com/sharepoint/v3"/>
    <xsd:import namespace="05ed5d80-5be2-462c-bec3-14caa38b63ef"/>
    <xsd:import namespace="d34886c6-c96d-4e06-9b0f-8bf2e5627e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ed5d80-5be2-462c-bec3-14caa38b6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80ed09-d592-4bd7-b427-6fdad931ee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886c6-c96d-4e06-9b0f-8bf2e5627e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e7be3a-e7a5-4894-b300-2d15a6cac6d7}" ma:internalName="TaxCatchAll" ma:showField="CatchAllData" ma:web="d34886c6-c96d-4e06-9b0f-8bf2e5627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18C5E-F377-4601-B368-E1F49B30C0EE}">
  <ds:schemaRefs>
    <ds:schemaRef ds:uri="http://schemas.microsoft.com/sharepoint/v3/contenttype/forms"/>
  </ds:schemaRefs>
</ds:datastoreItem>
</file>

<file path=customXml/itemProps2.xml><?xml version="1.0" encoding="utf-8"?>
<ds:datastoreItem xmlns:ds="http://schemas.openxmlformats.org/officeDocument/2006/customXml" ds:itemID="{CFEC7535-EEFA-48B2-B4A4-8F7C3B105FAA}">
  <ds:schemaRefs>
    <ds:schemaRef ds:uri="http://schemas.microsoft.com/office/2006/metadata/properties"/>
    <ds:schemaRef ds:uri="http://schemas.microsoft.com/office/infopath/2007/PartnerControls"/>
    <ds:schemaRef ds:uri="http://schemas.microsoft.com/sharepoint/v3"/>
    <ds:schemaRef ds:uri="05ed5d80-5be2-462c-bec3-14caa38b63ef"/>
    <ds:schemaRef ds:uri="d34886c6-c96d-4e06-9b0f-8bf2e5627e94"/>
  </ds:schemaRefs>
</ds:datastoreItem>
</file>

<file path=customXml/itemProps3.xml><?xml version="1.0" encoding="utf-8"?>
<ds:datastoreItem xmlns:ds="http://schemas.openxmlformats.org/officeDocument/2006/customXml" ds:itemID="{17BF8811-5734-4773-A6BB-0A01F4804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ed5d80-5be2-462c-bec3-14caa38b63ef"/>
    <ds:schemaRef ds:uri="d34886c6-c96d-4e06-9b0f-8bf2e5627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1015A8-CD1F-494F-AD69-791D596A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6154</TotalTime>
  <Pages>6</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dc:creator>
  <cp:keywords/>
  <dc:description/>
  <cp:lastModifiedBy>Hugh Dive</cp:lastModifiedBy>
  <cp:revision>90</cp:revision>
  <cp:lastPrinted>2026-09-17T05:15:00Z</cp:lastPrinted>
  <dcterms:created xsi:type="dcterms:W3CDTF">2026-10-06T02:28:00Z</dcterms:created>
  <dcterms:modified xsi:type="dcterms:W3CDTF">2026-10-15T00:13:00Z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0x0101002CB7E12DB769164D9B28CF2966ED06A5</vt:lpwstr>
  </property>
  <property fmtid="{D5CDD505-2E9C-101B-9397-08002B2CF9AE}" pid="3" name="GrammarlyDocumentId">
    <vt:lpwstr>573f9722-ef06-4113-8916-106dd9cdea7e</vt:lpwstr>
  </property>
  <property fmtid="{D5CDD505-2E9C-101B-9397-08002B2CF9AE}" pid="4" name="MediaServiceImageTags">
    <vt:lpwstr/>
  </property>
</Properties>
</file>